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35" w:rsidRDefault="00CC5235">
      <w:bookmarkStart w:id="0" w:name="_GoBack"/>
      <w:bookmarkEnd w:id="0"/>
    </w:p>
    <w:p w:rsidR="00F908B6" w:rsidRDefault="00F908B6"/>
    <w:p w:rsidR="00F908B6" w:rsidRDefault="00F908B6" w:rsidP="00F908B6">
      <w:pPr>
        <w:jc w:val="center"/>
      </w:pPr>
      <w:r w:rsidRPr="00F908B6">
        <w:rPr>
          <w:noProof/>
        </w:rPr>
        <w:drawing>
          <wp:inline distT="0" distB="0" distL="0" distR="0">
            <wp:extent cx="1076340" cy="1152000"/>
            <wp:effectExtent l="0" t="0" r="0" b="0"/>
            <wp:docPr id="2" name="Picture 1" descr="C:\Users\amadi.cisse\Desktop\250px-Coat_of_arms_of_the_Republic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i.cisse\Desktop\250px-Coat_of_arms_of_the_Republic_of_Uganda.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40" cy="1152000"/>
                    </a:xfrm>
                    <a:prstGeom prst="rect">
                      <a:avLst/>
                    </a:prstGeom>
                    <a:noFill/>
                    <a:ln>
                      <a:noFill/>
                    </a:ln>
                  </pic:spPr>
                </pic:pic>
              </a:graphicData>
            </a:graphic>
          </wp:inline>
        </w:drawing>
      </w:r>
    </w:p>
    <w:p w:rsidR="00F908B6" w:rsidRDefault="00F908B6" w:rsidP="00F908B6">
      <w:pPr>
        <w:jc w:val="center"/>
      </w:pPr>
    </w:p>
    <w:p w:rsidR="00F908B6" w:rsidRDefault="00F908B6" w:rsidP="00F908B6">
      <w:pPr>
        <w:jc w:val="center"/>
      </w:pPr>
    </w:p>
    <w:p w:rsidR="00F908B6" w:rsidRDefault="00F908B6" w:rsidP="00F908B6">
      <w:pPr>
        <w:jc w:val="center"/>
        <w:rPr>
          <w:b/>
          <w:sz w:val="28"/>
          <w:szCs w:val="28"/>
        </w:rPr>
      </w:pPr>
      <w:r w:rsidRPr="00F908B6">
        <w:rPr>
          <w:b/>
          <w:sz w:val="28"/>
          <w:szCs w:val="28"/>
        </w:rPr>
        <w:t>Ministry of Works and Transport</w:t>
      </w:r>
    </w:p>
    <w:p w:rsidR="009506E9" w:rsidRPr="00D42D4A" w:rsidRDefault="009506E9" w:rsidP="00D42D4A">
      <w:pPr>
        <w:jc w:val="center"/>
        <w:rPr>
          <w:rFonts w:ascii="Arial" w:hAnsi="Arial" w:cs="Arial"/>
          <w:b/>
          <w:bCs/>
          <w:color w:val="CC0066"/>
          <w:shd w:val="clear" w:color="auto" w:fill="FFFFFF"/>
        </w:rPr>
      </w:pPr>
    </w:p>
    <w:p w:rsidR="00F908B6" w:rsidRDefault="00F908B6" w:rsidP="00F908B6">
      <w:pPr>
        <w:jc w:val="center"/>
        <w:rPr>
          <w:b/>
          <w:sz w:val="28"/>
          <w:szCs w:val="28"/>
        </w:rPr>
      </w:pPr>
      <w:r>
        <w:rPr>
          <w:b/>
          <w:sz w:val="28"/>
          <w:szCs w:val="28"/>
        </w:rPr>
        <w:t xml:space="preserve">Guidelines for </w:t>
      </w:r>
      <w:r w:rsidR="00012926">
        <w:rPr>
          <w:b/>
          <w:sz w:val="28"/>
          <w:szCs w:val="28"/>
        </w:rPr>
        <w:t>Submission and Assessment of</w:t>
      </w:r>
      <w:r>
        <w:rPr>
          <w:b/>
          <w:sz w:val="28"/>
          <w:szCs w:val="28"/>
        </w:rPr>
        <w:t xml:space="preserve"> Unsolicited </w:t>
      </w:r>
      <w:r w:rsidR="00A95828">
        <w:rPr>
          <w:b/>
          <w:sz w:val="28"/>
          <w:szCs w:val="28"/>
        </w:rPr>
        <w:t xml:space="preserve">Proposals </w:t>
      </w:r>
      <w:r>
        <w:rPr>
          <w:b/>
          <w:sz w:val="28"/>
          <w:szCs w:val="28"/>
        </w:rPr>
        <w:t>in the Transport Sector</w:t>
      </w:r>
    </w:p>
    <w:p w:rsidR="00F908B6" w:rsidRDefault="00F908B6" w:rsidP="00F908B6">
      <w:pPr>
        <w:jc w:val="center"/>
        <w:rPr>
          <w:b/>
          <w:sz w:val="28"/>
          <w:szCs w:val="28"/>
        </w:rPr>
      </w:pPr>
    </w:p>
    <w:p w:rsidR="00F908B6" w:rsidRDefault="005902B2" w:rsidP="00F908B6">
      <w:pPr>
        <w:jc w:val="center"/>
        <w:rPr>
          <w:b/>
          <w:sz w:val="28"/>
          <w:szCs w:val="28"/>
        </w:rPr>
      </w:pPr>
      <w:r>
        <w:rPr>
          <w:b/>
          <w:sz w:val="28"/>
          <w:szCs w:val="28"/>
        </w:rPr>
        <w:t xml:space="preserve">Final </w:t>
      </w:r>
      <w:r w:rsidR="00F908B6">
        <w:rPr>
          <w:b/>
          <w:sz w:val="28"/>
          <w:szCs w:val="28"/>
        </w:rPr>
        <w:t>Draft</w:t>
      </w:r>
      <w:r w:rsidR="003A0AA2">
        <w:rPr>
          <w:b/>
          <w:sz w:val="28"/>
          <w:szCs w:val="28"/>
        </w:rPr>
        <w:t xml:space="preserve"> </w:t>
      </w:r>
    </w:p>
    <w:p w:rsidR="00F908B6" w:rsidRPr="00F908B6" w:rsidRDefault="005902B2" w:rsidP="00F908B6">
      <w:pPr>
        <w:jc w:val="center"/>
        <w:rPr>
          <w:b/>
          <w:sz w:val="28"/>
          <w:szCs w:val="28"/>
        </w:rPr>
      </w:pPr>
      <w:r>
        <w:rPr>
          <w:b/>
          <w:sz w:val="28"/>
          <w:szCs w:val="28"/>
        </w:rPr>
        <w:t xml:space="preserve">July </w:t>
      </w:r>
      <w:r w:rsidR="00FD0305">
        <w:rPr>
          <w:b/>
          <w:sz w:val="28"/>
          <w:szCs w:val="28"/>
        </w:rPr>
        <w:t>2013</w:t>
      </w:r>
    </w:p>
    <w:p w:rsidR="00F908B6" w:rsidRDefault="00F908B6"/>
    <w:p w:rsidR="00F908B6" w:rsidRDefault="00F908B6"/>
    <w:p w:rsidR="00F908B6" w:rsidRDefault="00F908B6"/>
    <w:p w:rsidR="00F908B6" w:rsidRDefault="00F908B6"/>
    <w:p w:rsidR="00F908B6" w:rsidRDefault="00F908B6"/>
    <w:p w:rsidR="00F908B6" w:rsidRDefault="00F908B6">
      <w:r>
        <w:br w:type="page"/>
      </w:r>
    </w:p>
    <w:sdt>
      <w:sdtPr>
        <w:rPr>
          <w:rFonts w:asciiTheme="minorHAnsi" w:eastAsiaTheme="minorEastAsia" w:hAnsiTheme="minorHAnsi" w:cstheme="minorBidi"/>
          <w:b w:val="0"/>
          <w:bCs w:val="0"/>
          <w:color w:val="auto"/>
          <w:sz w:val="22"/>
          <w:szCs w:val="22"/>
          <w:lang w:val="en-GB" w:eastAsia="en-GB"/>
        </w:rPr>
        <w:id w:val="-277568802"/>
        <w:docPartObj>
          <w:docPartGallery w:val="Table of Contents"/>
          <w:docPartUnique/>
        </w:docPartObj>
      </w:sdtPr>
      <w:sdtEndPr>
        <w:rPr>
          <w:noProof/>
        </w:rPr>
      </w:sdtEndPr>
      <w:sdtContent>
        <w:p w:rsidR="00A14708" w:rsidRDefault="00A14708">
          <w:pPr>
            <w:pStyle w:val="TOCHeading"/>
          </w:pPr>
          <w:r>
            <w:t>Contents</w:t>
          </w:r>
        </w:p>
        <w:p w:rsidR="00DF0E62" w:rsidRDefault="00D80DE7">
          <w:pPr>
            <w:pStyle w:val="TOC1"/>
            <w:tabs>
              <w:tab w:val="left" w:pos="440"/>
              <w:tab w:val="right" w:leader="dot" w:pos="9016"/>
            </w:tabs>
            <w:rPr>
              <w:noProof/>
            </w:rPr>
          </w:pPr>
          <w:r>
            <w:fldChar w:fldCharType="begin"/>
          </w:r>
          <w:r w:rsidR="00A14708">
            <w:instrText xml:space="preserve"> TOC \o "1-3" \h \z \u </w:instrText>
          </w:r>
          <w:r>
            <w:fldChar w:fldCharType="separate"/>
          </w:r>
          <w:hyperlink w:anchor="_Toc361742265" w:history="1">
            <w:r w:rsidR="00DF0E62" w:rsidRPr="00EE1AFC">
              <w:rPr>
                <w:rStyle w:val="Hyperlink"/>
                <w:noProof/>
              </w:rPr>
              <w:t>1.</w:t>
            </w:r>
            <w:r w:rsidR="00DF0E62">
              <w:rPr>
                <w:noProof/>
              </w:rPr>
              <w:tab/>
            </w:r>
            <w:r w:rsidR="00DF0E62" w:rsidRPr="00EE1AFC">
              <w:rPr>
                <w:rStyle w:val="Hyperlink"/>
                <w:noProof/>
              </w:rPr>
              <w:t>INTRODUCTION</w:t>
            </w:r>
            <w:r w:rsidR="00DF0E62">
              <w:rPr>
                <w:noProof/>
                <w:webHidden/>
              </w:rPr>
              <w:tab/>
            </w:r>
            <w:r>
              <w:rPr>
                <w:noProof/>
                <w:webHidden/>
              </w:rPr>
              <w:fldChar w:fldCharType="begin"/>
            </w:r>
            <w:r w:rsidR="00DF0E62">
              <w:rPr>
                <w:noProof/>
                <w:webHidden/>
              </w:rPr>
              <w:instrText xml:space="preserve"> PAGEREF _Toc361742265 \h </w:instrText>
            </w:r>
            <w:r>
              <w:rPr>
                <w:noProof/>
                <w:webHidden/>
              </w:rPr>
            </w:r>
            <w:r>
              <w:rPr>
                <w:noProof/>
                <w:webHidden/>
              </w:rPr>
              <w:fldChar w:fldCharType="separate"/>
            </w:r>
            <w:r w:rsidR="00DF0E62">
              <w:rPr>
                <w:noProof/>
                <w:webHidden/>
              </w:rPr>
              <w:t>1</w:t>
            </w:r>
            <w:r>
              <w:rPr>
                <w:noProof/>
                <w:webHidden/>
              </w:rPr>
              <w:fldChar w:fldCharType="end"/>
            </w:r>
          </w:hyperlink>
        </w:p>
        <w:p w:rsidR="00DF0E62" w:rsidRDefault="00B6436B">
          <w:pPr>
            <w:pStyle w:val="TOC1"/>
            <w:tabs>
              <w:tab w:val="left" w:pos="440"/>
              <w:tab w:val="right" w:leader="dot" w:pos="9016"/>
            </w:tabs>
            <w:rPr>
              <w:noProof/>
            </w:rPr>
          </w:pPr>
          <w:hyperlink w:anchor="_Toc361742266" w:history="1">
            <w:r w:rsidR="00DF0E62" w:rsidRPr="00EE1AFC">
              <w:rPr>
                <w:rStyle w:val="Hyperlink"/>
                <w:noProof/>
              </w:rPr>
              <w:t>2</w:t>
            </w:r>
            <w:r w:rsidR="00DF0E62">
              <w:rPr>
                <w:noProof/>
              </w:rPr>
              <w:tab/>
            </w:r>
            <w:r w:rsidR="00DF0E62" w:rsidRPr="00EE1AFC">
              <w:rPr>
                <w:rStyle w:val="Hyperlink"/>
                <w:noProof/>
              </w:rPr>
              <w:t>SUMMARY OF THE PROCESS</w:t>
            </w:r>
            <w:r w:rsidR="00DF0E62">
              <w:rPr>
                <w:noProof/>
                <w:webHidden/>
              </w:rPr>
              <w:tab/>
            </w:r>
            <w:r w:rsidR="00D80DE7">
              <w:rPr>
                <w:noProof/>
                <w:webHidden/>
              </w:rPr>
              <w:fldChar w:fldCharType="begin"/>
            </w:r>
            <w:r w:rsidR="00DF0E62">
              <w:rPr>
                <w:noProof/>
                <w:webHidden/>
              </w:rPr>
              <w:instrText xml:space="preserve"> PAGEREF _Toc361742266 \h </w:instrText>
            </w:r>
            <w:r w:rsidR="00D80DE7">
              <w:rPr>
                <w:noProof/>
                <w:webHidden/>
              </w:rPr>
            </w:r>
            <w:r w:rsidR="00D80DE7">
              <w:rPr>
                <w:noProof/>
                <w:webHidden/>
              </w:rPr>
              <w:fldChar w:fldCharType="separate"/>
            </w:r>
            <w:r w:rsidR="00DF0E62">
              <w:rPr>
                <w:noProof/>
                <w:webHidden/>
              </w:rPr>
              <w:t>2</w:t>
            </w:r>
            <w:r w:rsidR="00D80DE7">
              <w:rPr>
                <w:noProof/>
                <w:webHidden/>
              </w:rPr>
              <w:fldChar w:fldCharType="end"/>
            </w:r>
          </w:hyperlink>
        </w:p>
        <w:p w:rsidR="00DF0E62" w:rsidRDefault="00B6436B">
          <w:pPr>
            <w:pStyle w:val="TOC1"/>
            <w:tabs>
              <w:tab w:val="left" w:pos="440"/>
              <w:tab w:val="right" w:leader="dot" w:pos="9016"/>
            </w:tabs>
            <w:rPr>
              <w:noProof/>
            </w:rPr>
          </w:pPr>
          <w:hyperlink w:anchor="_Toc361742267" w:history="1">
            <w:r w:rsidR="00DF0E62" w:rsidRPr="00EE1AFC">
              <w:rPr>
                <w:rStyle w:val="Hyperlink"/>
                <w:noProof/>
              </w:rPr>
              <w:t>3</w:t>
            </w:r>
            <w:r w:rsidR="00DF0E62">
              <w:rPr>
                <w:noProof/>
              </w:rPr>
              <w:tab/>
            </w:r>
            <w:r w:rsidR="00DF0E62" w:rsidRPr="00EE1AFC">
              <w:rPr>
                <w:rStyle w:val="Hyperlink"/>
                <w:noProof/>
              </w:rPr>
              <w:t>GUIDING PRINCIPLES</w:t>
            </w:r>
            <w:r w:rsidR="00DF0E62">
              <w:rPr>
                <w:noProof/>
                <w:webHidden/>
              </w:rPr>
              <w:tab/>
            </w:r>
            <w:r w:rsidR="00D80DE7">
              <w:rPr>
                <w:noProof/>
                <w:webHidden/>
              </w:rPr>
              <w:fldChar w:fldCharType="begin"/>
            </w:r>
            <w:r w:rsidR="00DF0E62">
              <w:rPr>
                <w:noProof/>
                <w:webHidden/>
              </w:rPr>
              <w:instrText xml:space="preserve"> PAGEREF _Toc361742267 \h </w:instrText>
            </w:r>
            <w:r w:rsidR="00D80DE7">
              <w:rPr>
                <w:noProof/>
                <w:webHidden/>
              </w:rPr>
            </w:r>
            <w:r w:rsidR="00D80DE7">
              <w:rPr>
                <w:noProof/>
                <w:webHidden/>
              </w:rPr>
              <w:fldChar w:fldCharType="separate"/>
            </w:r>
            <w:r w:rsidR="00DF0E62">
              <w:rPr>
                <w:noProof/>
                <w:webHidden/>
              </w:rPr>
              <w:t>3</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68" w:history="1">
            <w:r w:rsidR="00DF0E62" w:rsidRPr="00EE1AFC">
              <w:rPr>
                <w:rStyle w:val="Hyperlink"/>
                <w:noProof/>
              </w:rPr>
              <w:t>3.1</w:t>
            </w:r>
            <w:r w:rsidR="00DF0E62">
              <w:rPr>
                <w:noProof/>
              </w:rPr>
              <w:tab/>
            </w:r>
            <w:r w:rsidR="00DF0E62" w:rsidRPr="00EE1AFC">
              <w:rPr>
                <w:rStyle w:val="Hyperlink"/>
                <w:noProof/>
              </w:rPr>
              <w:t>Optimisation of Outcomes</w:t>
            </w:r>
            <w:r w:rsidR="00DF0E62">
              <w:rPr>
                <w:noProof/>
                <w:webHidden/>
              </w:rPr>
              <w:tab/>
            </w:r>
            <w:r w:rsidR="00D80DE7">
              <w:rPr>
                <w:noProof/>
                <w:webHidden/>
              </w:rPr>
              <w:fldChar w:fldCharType="begin"/>
            </w:r>
            <w:r w:rsidR="00DF0E62">
              <w:rPr>
                <w:noProof/>
                <w:webHidden/>
              </w:rPr>
              <w:instrText xml:space="preserve"> PAGEREF _Toc361742268 \h </w:instrText>
            </w:r>
            <w:r w:rsidR="00D80DE7">
              <w:rPr>
                <w:noProof/>
                <w:webHidden/>
              </w:rPr>
            </w:r>
            <w:r w:rsidR="00D80DE7">
              <w:rPr>
                <w:noProof/>
                <w:webHidden/>
              </w:rPr>
              <w:fldChar w:fldCharType="separate"/>
            </w:r>
            <w:r w:rsidR="00DF0E62">
              <w:rPr>
                <w:noProof/>
                <w:webHidden/>
              </w:rPr>
              <w:t>3</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69" w:history="1">
            <w:r w:rsidR="00DF0E62" w:rsidRPr="00EE1AFC">
              <w:rPr>
                <w:rStyle w:val="Hyperlink"/>
                <w:noProof/>
              </w:rPr>
              <w:t>3.2</w:t>
            </w:r>
            <w:r w:rsidR="00DF0E62">
              <w:rPr>
                <w:noProof/>
              </w:rPr>
              <w:tab/>
            </w:r>
            <w:r w:rsidR="00DF0E62" w:rsidRPr="00EE1AFC">
              <w:rPr>
                <w:rStyle w:val="Hyperlink"/>
                <w:noProof/>
              </w:rPr>
              <w:t>Assessment Criteria</w:t>
            </w:r>
            <w:r w:rsidR="00DF0E62">
              <w:rPr>
                <w:noProof/>
                <w:webHidden/>
              </w:rPr>
              <w:tab/>
            </w:r>
            <w:r w:rsidR="00D80DE7">
              <w:rPr>
                <w:noProof/>
                <w:webHidden/>
              </w:rPr>
              <w:fldChar w:fldCharType="begin"/>
            </w:r>
            <w:r w:rsidR="00DF0E62">
              <w:rPr>
                <w:noProof/>
                <w:webHidden/>
              </w:rPr>
              <w:instrText xml:space="preserve"> PAGEREF _Toc361742269 \h </w:instrText>
            </w:r>
            <w:r w:rsidR="00D80DE7">
              <w:rPr>
                <w:noProof/>
                <w:webHidden/>
              </w:rPr>
            </w:r>
            <w:r w:rsidR="00D80DE7">
              <w:rPr>
                <w:noProof/>
                <w:webHidden/>
              </w:rPr>
              <w:fldChar w:fldCharType="separate"/>
            </w:r>
            <w:r w:rsidR="00DF0E62">
              <w:rPr>
                <w:noProof/>
                <w:webHidden/>
              </w:rPr>
              <w:t>4</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0" w:history="1">
            <w:r w:rsidR="00DF0E62" w:rsidRPr="00EE1AFC">
              <w:rPr>
                <w:rStyle w:val="Hyperlink"/>
                <w:noProof/>
              </w:rPr>
              <w:t>3.3</w:t>
            </w:r>
            <w:r w:rsidR="00DF0E62">
              <w:rPr>
                <w:noProof/>
              </w:rPr>
              <w:tab/>
            </w:r>
            <w:r w:rsidR="00DF0E62" w:rsidRPr="00EE1AFC">
              <w:rPr>
                <w:rStyle w:val="Hyperlink"/>
                <w:noProof/>
              </w:rPr>
              <w:t>Probity / Integrity</w:t>
            </w:r>
            <w:r w:rsidR="00DF0E62">
              <w:rPr>
                <w:noProof/>
                <w:webHidden/>
              </w:rPr>
              <w:tab/>
            </w:r>
            <w:r w:rsidR="00D80DE7">
              <w:rPr>
                <w:noProof/>
                <w:webHidden/>
              </w:rPr>
              <w:fldChar w:fldCharType="begin"/>
            </w:r>
            <w:r w:rsidR="00DF0E62">
              <w:rPr>
                <w:noProof/>
                <w:webHidden/>
              </w:rPr>
              <w:instrText xml:space="preserve"> PAGEREF _Toc361742270 \h </w:instrText>
            </w:r>
            <w:r w:rsidR="00D80DE7">
              <w:rPr>
                <w:noProof/>
                <w:webHidden/>
              </w:rPr>
            </w:r>
            <w:r w:rsidR="00D80DE7">
              <w:rPr>
                <w:noProof/>
                <w:webHidden/>
              </w:rPr>
              <w:fldChar w:fldCharType="separate"/>
            </w:r>
            <w:r w:rsidR="00DF0E62">
              <w:rPr>
                <w:noProof/>
                <w:webHidden/>
              </w:rPr>
              <w:t>4</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1" w:history="1">
            <w:r w:rsidR="00DF0E62" w:rsidRPr="00EE1AFC">
              <w:rPr>
                <w:rStyle w:val="Hyperlink"/>
                <w:noProof/>
              </w:rPr>
              <w:t>3.4</w:t>
            </w:r>
            <w:r w:rsidR="00DF0E62">
              <w:rPr>
                <w:noProof/>
              </w:rPr>
              <w:tab/>
            </w:r>
            <w:r w:rsidR="00DF0E62" w:rsidRPr="00EE1AFC">
              <w:rPr>
                <w:rStyle w:val="Hyperlink"/>
                <w:noProof/>
              </w:rPr>
              <w:t>Resource Commitments</w:t>
            </w:r>
            <w:r w:rsidR="00DF0E62">
              <w:rPr>
                <w:noProof/>
                <w:webHidden/>
              </w:rPr>
              <w:tab/>
            </w:r>
            <w:r w:rsidR="00D80DE7">
              <w:rPr>
                <w:noProof/>
                <w:webHidden/>
              </w:rPr>
              <w:fldChar w:fldCharType="begin"/>
            </w:r>
            <w:r w:rsidR="00DF0E62">
              <w:rPr>
                <w:noProof/>
                <w:webHidden/>
              </w:rPr>
              <w:instrText xml:space="preserve"> PAGEREF _Toc361742271 \h </w:instrText>
            </w:r>
            <w:r w:rsidR="00D80DE7">
              <w:rPr>
                <w:noProof/>
                <w:webHidden/>
              </w:rPr>
            </w:r>
            <w:r w:rsidR="00D80DE7">
              <w:rPr>
                <w:noProof/>
                <w:webHidden/>
              </w:rPr>
              <w:fldChar w:fldCharType="separate"/>
            </w:r>
            <w:r w:rsidR="00DF0E62">
              <w:rPr>
                <w:noProof/>
                <w:webHidden/>
              </w:rPr>
              <w:t>4</w:t>
            </w:r>
            <w:r w:rsidR="00D80DE7">
              <w:rPr>
                <w:noProof/>
                <w:webHidden/>
              </w:rPr>
              <w:fldChar w:fldCharType="end"/>
            </w:r>
          </w:hyperlink>
        </w:p>
        <w:p w:rsidR="00DF0E62" w:rsidRDefault="00B6436B">
          <w:pPr>
            <w:pStyle w:val="TOC1"/>
            <w:tabs>
              <w:tab w:val="left" w:pos="440"/>
              <w:tab w:val="right" w:leader="dot" w:pos="9016"/>
            </w:tabs>
            <w:rPr>
              <w:noProof/>
            </w:rPr>
          </w:pPr>
          <w:hyperlink w:anchor="_Toc361742272" w:history="1">
            <w:r w:rsidR="00DF0E62" w:rsidRPr="00EE1AFC">
              <w:rPr>
                <w:rStyle w:val="Hyperlink"/>
                <w:noProof/>
              </w:rPr>
              <w:t>4</w:t>
            </w:r>
            <w:r w:rsidR="00DF0E62">
              <w:rPr>
                <w:noProof/>
              </w:rPr>
              <w:tab/>
            </w:r>
            <w:r w:rsidR="00DF0E62" w:rsidRPr="00EE1AFC">
              <w:rPr>
                <w:rStyle w:val="Hyperlink"/>
                <w:noProof/>
              </w:rPr>
              <w:t>THE PROCESS</w:t>
            </w:r>
            <w:r w:rsidR="00DF0E62">
              <w:rPr>
                <w:noProof/>
                <w:webHidden/>
              </w:rPr>
              <w:tab/>
            </w:r>
            <w:r w:rsidR="00D80DE7">
              <w:rPr>
                <w:noProof/>
                <w:webHidden/>
              </w:rPr>
              <w:fldChar w:fldCharType="begin"/>
            </w:r>
            <w:r w:rsidR="00DF0E62">
              <w:rPr>
                <w:noProof/>
                <w:webHidden/>
              </w:rPr>
              <w:instrText xml:space="preserve"> PAGEREF _Toc361742272 \h </w:instrText>
            </w:r>
            <w:r w:rsidR="00D80DE7">
              <w:rPr>
                <w:noProof/>
                <w:webHidden/>
              </w:rPr>
            </w:r>
            <w:r w:rsidR="00D80DE7">
              <w:rPr>
                <w:noProof/>
                <w:webHidden/>
              </w:rPr>
              <w:fldChar w:fldCharType="separate"/>
            </w:r>
            <w:r w:rsidR="00DF0E62">
              <w:rPr>
                <w:noProof/>
                <w:webHidden/>
              </w:rPr>
              <w:t>4</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3" w:history="1">
            <w:r w:rsidR="00DF0E62" w:rsidRPr="00EE1AFC">
              <w:rPr>
                <w:rStyle w:val="Hyperlink"/>
                <w:noProof/>
              </w:rPr>
              <w:t>4.1</w:t>
            </w:r>
            <w:r w:rsidR="00DF0E62">
              <w:rPr>
                <w:noProof/>
              </w:rPr>
              <w:tab/>
            </w:r>
            <w:r w:rsidR="00DF0E62" w:rsidRPr="00EE1AFC">
              <w:rPr>
                <w:rStyle w:val="Hyperlink"/>
                <w:noProof/>
              </w:rPr>
              <w:t>Introduction</w:t>
            </w:r>
            <w:r w:rsidR="00DF0E62">
              <w:rPr>
                <w:noProof/>
                <w:webHidden/>
              </w:rPr>
              <w:tab/>
            </w:r>
            <w:r w:rsidR="00D80DE7">
              <w:rPr>
                <w:noProof/>
                <w:webHidden/>
              </w:rPr>
              <w:fldChar w:fldCharType="begin"/>
            </w:r>
            <w:r w:rsidR="00DF0E62">
              <w:rPr>
                <w:noProof/>
                <w:webHidden/>
              </w:rPr>
              <w:instrText xml:space="preserve"> PAGEREF _Toc361742273 \h </w:instrText>
            </w:r>
            <w:r w:rsidR="00D80DE7">
              <w:rPr>
                <w:noProof/>
                <w:webHidden/>
              </w:rPr>
            </w:r>
            <w:r w:rsidR="00D80DE7">
              <w:rPr>
                <w:noProof/>
                <w:webHidden/>
              </w:rPr>
              <w:fldChar w:fldCharType="separate"/>
            </w:r>
            <w:r w:rsidR="00DF0E62">
              <w:rPr>
                <w:noProof/>
                <w:webHidden/>
              </w:rPr>
              <w:t>4</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4" w:history="1">
            <w:r w:rsidR="00DF0E62" w:rsidRPr="00EE1AFC">
              <w:rPr>
                <w:rStyle w:val="Hyperlink"/>
                <w:noProof/>
              </w:rPr>
              <w:t>4.2</w:t>
            </w:r>
            <w:r w:rsidR="00DF0E62">
              <w:rPr>
                <w:noProof/>
              </w:rPr>
              <w:tab/>
            </w:r>
            <w:r w:rsidR="00DF0E62" w:rsidRPr="00EE1AFC">
              <w:rPr>
                <w:rStyle w:val="Hyperlink"/>
                <w:noProof/>
              </w:rPr>
              <w:t>Stage 1 – Initial Submission and Strategic Assessment</w:t>
            </w:r>
            <w:r w:rsidR="00DF0E62">
              <w:rPr>
                <w:noProof/>
                <w:webHidden/>
              </w:rPr>
              <w:tab/>
            </w:r>
            <w:r w:rsidR="00D80DE7">
              <w:rPr>
                <w:noProof/>
                <w:webHidden/>
              </w:rPr>
              <w:fldChar w:fldCharType="begin"/>
            </w:r>
            <w:r w:rsidR="00DF0E62">
              <w:rPr>
                <w:noProof/>
                <w:webHidden/>
              </w:rPr>
              <w:instrText xml:space="preserve"> PAGEREF _Toc361742274 \h </w:instrText>
            </w:r>
            <w:r w:rsidR="00D80DE7">
              <w:rPr>
                <w:noProof/>
                <w:webHidden/>
              </w:rPr>
            </w:r>
            <w:r w:rsidR="00D80DE7">
              <w:rPr>
                <w:noProof/>
                <w:webHidden/>
              </w:rPr>
              <w:fldChar w:fldCharType="separate"/>
            </w:r>
            <w:r w:rsidR="00DF0E62">
              <w:rPr>
                <w:noProof/>
                <w:webHidden/>
              </w:rPr>
              <w:t>5</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5" w:history="1">
            <w:r w:rsidR="00DF0E62" w:rsidRPr="00EE1AFC">
              <w:rPr>
                <w:rStyle w:val="Hyperlink"/>
                <w:noProof/>
              </w:rPr>
              <w:t>4.3</w:t>
            </w:r>
            <w:r w:rsidR="00DF0E62">
              <w:rPr>
                <w:noProof/>
              </w:rPr>
              <w:tab/>
            </w:r>
            <w:r w:rsidR="00DF0E62" w:rsidRPr="00EE1AFC">
              <w:rPr>
                <w:rStyle w:val="Hyperlink"/>
                <w:noProof/>
              </w:rPr>
              <w:t>Stage 2 – Detailed Proposal</w:t>
            </w:r>
            <w:r w:rsidR="00DF0E62">
              <w:rPr>
                <w:noProof/>
                <w:webHidden/>
              </w:rPr>
              <w:tab/>
            </w:r>
            <w:r w:rsidR="00D80DE7">
              <w:rPr>
                <w:noProof/>
                <w:webHidden/>
              </w:rPr>
              <w:fldChar w:fldCharType="begin"/>
            </w:r>
            <w:r w:rsidR="00DF0E62">
              <w:rPr>
                <w:noProof/>
                <w:webHidden/>
              </w:rPr>
              <w:instrText xml:space="preserve"> PAGEREF _Toc361742275 \h </w:instrText>
            </w:r>
            <w:r w:rsidR="00D80DE7">
              <w:rPr>
                <w:noProof/>
                <w:webHidden/>
              </w:rPr>
            </w:r>
            <w:r w:rsidR="00D80DE7">
              <w:rPr>
                <w:noProof/>
                <w:webHidden/>
              </w:rPr>
              <w:fldChar w:fldCharType="separate"/>
            </w:r>
            <w:r w:rsidR="00DF0E62">
              <w:rPr>
                <w:noProof/>
                <w:webHidden/>
              </w:rPr>
              <w:t>6</w:t>
            </w:r>
            <w:r w:rsidR="00D80DE7">
              <w:rPr>
                <w:noProof/>
                <w:webHidden/>
              </w:rPr>
              <w:fldChar w:fldCharType="end"/>
            </w:r>
          </w:hyperlink>
        </w:p>
        <w:p w:rsidR="00DF0E62" w:rsidRDefault="00B6436B">
          <w:pPr>
            <w:pStyle w:val="TOC2"/>
            <w:tabs>
              <w:tab w:val="left" w:pos="880"/>
              <w:tab w:val="right" w:leader="dot" w:pos="9016"/>
            </w:tabs>
            <w:rPr>
              <w:noProof/>
            </w:rPr>
          </w:pPr>
          <w:hyperlink w:anchor="_Toc361742276" w:history="1">
            <w:r w:rsidR="00DF0E62" w:rsidRPr="00EE1AFC">
              <w:rPr>
                <w:rStyle w:val="Hyperlink"/>
                <w:noProof/>
              </w:rPr>
              <w:t>4.4</w:t>
            </w:r>
            <w:r w:rsidR="00DF0E62">
              <w:rPr>
                <w:noProof/>
              </w:rPr>
              <w:tab/>
            </w:r>
            <w:r w:rsidR="00DF0E62" w:rsidRPr="00EE1AFC">
              <w:rPr>
                <w:rStyle w:val="Hyperlink"/>
                <w:noProof/>
              </w:rPr>
              <w:t>Stage 3 – Negotiation of Final Binding Offer</w:t>
            </w:r>
            <w:r w:rsidR="00DF0E62">
              <w:rPr>
                <w:noProof/>
                <w:webHidden/>
              </w:rPr>
              <w:tab/>
            </w:r>
            <w:r w:rsidR="00D80DE7">
              <w:rPr>
                <w:noProof/>
                <w:webHidden/>
              </w:rPr>
              <w:fldChar w:fldCharType="begin"/>
            </w:r>
            <w:r w:rsidR="00DF0E62">
              <w:rPr>
                <w:noProof/>
                <w:webHidden/>
              </w:rPr>
              <w:instrText xml:space="preserve"> PAGEREF _Toc361742276 \h </w:instrText>
            </w:r>
            <w:r w:rsidR="00D80DE7">
              <w:rPr>
                <w:noProof/>
                <w:webHidden/>
              </w:rPr>
            </w:r>
            <w:r w:rsidR="00D80DE7">
              <w:rPr>
                <w:noProof/>
                <w:webHidden/>
              </w:rPr>
              <w:fldChar w:fldCharType="separate"/>
            </w:r>
            <w:r w:rsidR="00DF0E62">
              <w:rPr>
                <w:noProof/>
                <w:webHidden/>
              </w:rPr>
              <w:t>8</w:t>
            </w:r>
            <w:r w:rsidR="00D80DE7">
              <w:rPr>
                <w:noProof/>
                <w:webHidden/>
              </w:rPr>
              <w:fldChar w:fldCharType="end"/>
            </w:r>
          </w:hyperlink>
        </w:p>
        <w:p w:rsidR="00DF0E62" w:rsidRDefault="00B6436B">
          <w:pPr>
            <w:pStyle w:val="TOC1"/>
            <w:tabs>
              <w:tab w:val="left" w:pos="440"/>
              <w:tab w:val="right" w:leader="dot" w:pos="9016"/>
            </w:tabs>
            <w:rPr>
              <w:noProof/>
            </w:rPr>
          </w:pPr>
          <w:hyperlink w:anchor="_Toc361742277" w:history="1">
            <w:r w:rsidR="00DF0E62" w:rsidRPr="00EE1AFC">
              <w:rPr>
                <w:rStyle w:val="Hyperlink"/>
                <w:noProof/>
              </w:rPr>
              <w:t>5</w:t>
            </w:r>
            <w:r w:rsidR="00DF0E62">
              <w:rPr>
                <w:noProof/>
              </w:rPr>
              <w:tab/>
            </w:r>
            <w:r w:rsidR="00DF0E62" w:rsidRPr="00EE1AFC">
              <w:rPr>
                <w:rStyle w:val="Hyperlink"/>
                <w:noProof/>
              </w:rPr>
              <w:t>TRANSITIONAL ARRANGEMENTS</w:t>
            </w:r>
            <w:r w:rsidR="00DF0E62">
              <w:rPr>
                <w:noProof/>
                <w:webHidden/>
              </w:rPr>
              <w:tab/>
            </w:r>
            <w:r w:rsidR="00D80DE7">
              <w:rPr>
                <w:noProof/>
                <w:webHidden/>
              </w:rPr>
              <w:fldChar w:fldCharType="begin"/>
            </w:r>
            <w:r w:rsidR="00DF0E62">
              <w:rPr>
                <w:noProof/>
                <w:webHidden/>
              </w:rPr>
              <w:instrText xml:space="preserve"> PAGEREF _Toc361742277 \h </w:instrText>
            </w:r>
            <w:r w:rsidR="00D80DE7">
              <w:rPr>
                <w:noProof/>
                <w:webHidden/>
              </w:rPr>
            </w:r>
            <w:r w:rsidR="00D80DE7">
              <w:rPr>
                <w:noProof/>
                <w:webHidden/>
              </w:rPr>
              <w:fldChar w:fldCharType="separate"/>
            </w:r>
            <w:r w:rsidR="00DF0E62">
              <w:rPr>
                <w:noProof/>
                <w:webHidden/>
              </w:rPr>
              <w:t>8</w:t>
            </w:r>
            <w:r w:rsidR="00D80DE7">
              <w:rPr>
                <w:noProof/>
                <w:webHidden/>
              </w:rPr>
              <w:fldChar w:fldCharType="end"/>
            </w:r>
          </w:hyperlink>
        </w:p>
        <w:p w:rsidR="00DF0E62" w:rsidRDefault="00B6436B">
          <w:pPr>
            <w:pStyle w:val="TOC1"/>
            <w:tabs>
              <w:tab w:val="left" w:pos="440"/>
              <w:tab w:val="right" w:leader="dot" w:pos="9016"/>
            </w:tabs>
            <w:rPr>
              <w:noProof/>
            </w:rPr>
          </w:pPr>
          <w:hyperlink w:anchor="_Toc361742278" w:history="1">
            <w:r w:rsidR="00DF0E62" w:rsidRPr="00EE1AFC">
              <w:rPr>
                <w:rStyle w:val="Hyperlink"/>
                <w:noProof/>
              </w:rPr>
              <w:t>6</w:t>
            </w:r>
            <w:r w:rsidR="00DF0E62">
              <w:rPr>
                <w:noProof/>
              </w:rPr>
              <w:tab/>
            </w:r>
            <w:r w:rsidR="00DF0E62" w:rsidRPr="00EE1AFC">
              <w:rPr>
                <w:rStyle w:val="Hyperlink"/>
                <w:noProof/>
              </w:rPr>
              <w:t>INSTITUTIONAL ARRANGEMENTS</w:t>
            </w:r>
            <w:r w:rsidR="00DF0E62">
              <w:rPr>
                <w:noProof/>
                <w:webHidden/>
              </w:rPr>
              <w:tab/>
            </w:r>
            <w:r w:rsidR="00D80DE7">
              <w:rPr>
                <w:noProof/>
                <w:webHidden/>
              </w:rPr>
              <w:fldChar w:fldCharType="begin"/>
            </w:r>
            <w:r w:rsidR="00DF0E62">
              <w:rPr>
                <w:noProof/>
                <w:webHidden/>
              </w:rPr>
              <w:instrText xml:space="preserve"> PAGEREF _Toc361742278 \h </w:instrText>
            </w:r>
            <w:r w:rsidR="00D80DE7">
              <w:rPr>
                <w:noProof/>
                <w:webHidden/>
              </w:rPr>
            </w:r>
            <w:r w:rsidR="00D80DE7">
              <w:rPr>
                <w:noProof/>
                <w:webHidden/>
              </w:rPr>
              <w:fldChar w:fldCharType="separate"/>
            </w:r>
            <w:r w:rsidR="00DF0E62">
              <w:rPr>
                <w:noProof/>
                <w:webHidden/>
              </w:rPr>
              <w:t>8</w:t>
            </w:r>
            <w:r w:rsidR="00D80DE7">
              <w:rPr>
                <w:noProof/>
                <w:webHidden/>
              </w:rPr>
              <w:fldChar w:fldCharType="end"/>
            </w:r>
          </w:hyperlink>
        </w:p>
        <w:p w:rsidR="00DF0E62" w:rsidRDefault="00B6436B">
          <w:pPr>
            <w:pStyle w:val="TOC1"/>
            <w:tabs>
              <w:tab w:val="right" w:leader="dot" w:pos="9016"/>
            </w:tabs>
            <w:rPr>
              <w:noProof/>
            </w:rPr>
          </w:pPr>
          <w:hyperlink w:anchor="_Toc361742279" w:history="1">
            <w:r w:rsidR="00DF0E62" w:rsidRPr="00EE1AFC">
              <w:rPr>
                <w:rStyle w:val="Hyperlink"/>
                <w:noProof/>
              </w:rPr>
              <w:t>Appendix 1: Explanatory notes</w:t>
            </w:r>
            <w:r w:rsidR="00DF0E62">
              <w:rPr>
                <w:noProof/>
                <w:webHidden/>
              </w:rPr>
              <w:tab/>
            </w:r>
            <w:r w:rsidR="00D80DE7">
              <w:rPr>
                <w:noProof/>
                <w:webHidden/>
              </w:rPr>
              <w:fldChar w:fldCharType="begin"/>
            </w:r>
            <w:r w:rsidR="00DF0E62">
              <w:rPr>
                <w:noProof/>
                <w:webHidden/>
              </w:rPr>
              <w:instrText xml:space="preserve"> PAGEREF _Toc361742279 \h </w:instrText>
            </w:r>
            <w:r w:rsidR="00D80DE7">
              <w:rPr>
                <w:noProof/>
                <w:webHidden/>
              </w:rPr>
            </w:r>
            <w:r w:rsidR="00D80DE7">
              <w:rPr>
                <w:noProof/>
                <w:webHidden/>
              </w:rPr>
              <w:fldChar w:fldCharType="separate"/>
            </w:r>
            <w:r w:rsidR="00DF0E62">
              <w:rPr>
                <w:noProof/>
                <w:webHidden/>
              </w:rPr>
              <w:t>10</w:t>
            </w:r>
            <w:r w:rsidR="00D80DE7">
              <w:rPr>
                <w:noProof/>
                <w:webHidden/>
              </w:rPr>
              <w:fldChar w:fldCharType="end"/>
            </w:r>
          </w:hyperlink>
        </w:p>
        <w:p w:rsidR="00DF0E62" w:rsidRDefault="00B6436B">
          <w:pPr>
            <w:pStyle w:val="TOC1"/>
            <w:tabs>
              <w:tab w:val="right" w:leader="dot" w:pos="9016"/>
            </w:tabs>
            <w:rPr>
              <w:noProof/>
            </w:rPr>
          </w:pPr>
          <w:hyperlink w:anchor="_Toc361742280" w:history="1">
            <w:r w:rsidR="00DF0E62" w:rsidRPr="00EE1AFC">
              <w:rPr>
                <w:rStyle w:val="Hyperlink"/>
                <w:noProof/>
              </w:rPr>
              <w:t>Appendix 2: Process flow for consideration of Unsolicited Proposal</w:t>
            </w:r>
            <w:r w:rsidR="00DF0E62">
              <w:rPr>
                <w:noProof/>
                <w:webHidden/>
              </w:rPr>
              <w:tab/>
            </w:r>
            <w:r w:rsidR="00D80DE7">
              <w:rPr>
                <w:noProof/>
                <w:webHidden/>
              </w:rPr>
              <w:fldChar w:fldCharType="begin"/>
            </w:r>
            <w:r w:rsidR="00DF0E62">
              <w:rPr>
                <w:noProof/>
                <w:webHidden/>
              </w:rPr>
              <w:instrText xml:space="preserve"> PAGEREF _Toc361742280 \h </w:instrText>
            </w:r>
            <w:r w:rsidR="00D80DE7">
              <w:rPr>
                <w:noProof/>
                <w:webHidden/>
              </w:rPr>
            </w:r>
            <w:r w:rsidR="00D80DE7">
              <w:rPr>
                <w:noProof/>
                <w:webHidden/>
              </w:rPr>
              <w:fldChar w:fldCharType="separate"/>
            </w:r>
            <w:r w:rsidR="00DF0E62">
              <w:rPr>
                <w:noProof/>
                <w:webHidden/>
              </w:rPr>
              <w:t>14</w:t>
            </w:r>
            <w:r w:rsidR="00D80DE7">
              <w:rPr>
                <w:noProof/>
                <w:webHidden/>
              </w:rPr>
              <w:fldChar w:fldCharType="end"/>
            </w:r>
          </w:hyperlink>
        </w:p>
        <w:p w:rsidR="00DF0E62" w:rsidRDefault="00B6436B">
          <w:pPr>
            <w:pStyle w:val="TOC1"/>
            <w:tabs>
              <w:tab w:val="right" w:leader="dot" w:pos="9016"/>
            </w:tabs>
            <w:rPr>
              <w:noProof/>
            </w:rPr>
          </w:pPr>
          <w:hyperlink w:anchor="_Toc361742281" w:history="1">
            <w:r w:rsidR="00DF0E62" w:rsidRPr="00EE1AFC">
              <w:rPr>
                <w:rStyle w:val="Hyperlink"/>
                <w:noProof/>
              </w:rPr>
              <w:t>Appendix 3: Checklist for confirming compliance with Stage 1 Requirements</w:t>
            </w:r>
            <w:r w:rsidR="00DF0E62">
              <w:rPr>
                <w:noProof/>
                <w:webHidden/>
              </w:rPr>
              <w:tab/>
            </w:r>
            <w:r w:rsidR="00D80DE7">
              <w:rPr>
                <w:noProof/>
                <w:webHidden/>
              </w:rPr>
              <w:fldChar w:fldCharType="begin"/>
            </w:r>
            <w:r w:rsidR="00DF0E62">
              <w:rPr>
                <w:noProof/>
                <w:webHidden/>
              </w:rPr>
              <w:instrText xml:space="preserve"> PAGEREF _Toc361742281 \h </w:instrText>
            </w:r>
            <w:r w:rsidR="00D80DE7">
              <w:rPr>
                <w:noProof/>
                <w:webHidden/>
              </w:rPr>
            </w:r>
            <w:r w:rsidR="00D80DE7">
              <w:rPr>
                <w:noProof/>
                <w:webHidden/>
              </w:rPr>
              <w:fldChar w:fldCharType="separate"/>
            </w:r>
            <w:r w:rsidR="00DF0E62">
              <w:rPr>
                <w:noProof/>
                <w:webHidden/>
              </w:rPr>
              <w:t>15</w:t>
            </w:r>
            <w:r w:rsidR="00D80DE7">
              <w:rPr>
                <w:noProof/>
                <w:webHidden/>
              </w:rPr>
              <w:fldChar w:fldCharType="end"/>
            </w:r>
          </w:hyperlink>
        </w:p>
        <w:p w:rsidR="00DF0E62" w:rsidRDefault="00B6436B">
          <w:pPr>
            <w:pStyle w:val="TOC1"/>
            <w:tabs>
              <w:tab w:val="right" w:leader="dot" w:pos="9016"/>
            </w:tabs>
            <w:rPr>
              <w:noProof/>
            </w:rPr>
          </w:pPr>
          <w:hyperlink w:anchor="_Toc361742282" w:history="1">
            <w:r w:rsidR="00DF0E62" w:rsidRPr="00EE1AFC">
              <w:rPr>
                <w:rStyle w:val="Hyperlink"/>
                <w:noProof/>
              </w:rPr>
              <w:t xml:space="preserve">Appendix 4: Checklist for documenting results of review of Detailed Proposal at  Stage 2 </w:t>
            </w:r>
            <w:r w:rsidR="00DF0E62">
              <w:rPr>
                <w:noProof/>
                <w:webHidden/>
              </w:rPr>
              <w:tab/>
            </w:r>
            <w:r w:rsidR="00D80DE7">
              <w:rPr>
                <w:noProof/>
                <w:webHidden/>
              </w:rPr>
              <w:fldChar w:fldCharType="begin"/>
            </w:r>
            <w:r w:rsidR="00DF0E62">
              <w:rPr>
                <w:noProof/>
                <w:webHidden/>
              </w:rPr>
              <w:instrText xml:space="preserve"> PAGEREF _Toc361742282 \h </w:instrText>
            </w:r>
            <w:r w:rsidR="00D80DE7">
              <w:rPr>
                <w:noProof/>
                <w:webHidden/>
              </w:rPr>
            </w:r>
            <w:r w:rsidR="00D80DE7">
              <w:rPr>
                <w:noProof/>
                <w:webHidden/>
              </w:rPr>
              <w:fldChar w:fldCharType="separate"/>
            </w:r>
            <w:r w:rsidR="00DF0E62">
              <w:rPr>
                <w:noProof/>
                <w:webHidden/>
              </w:rPr>
              <w:t>17</w:t>
            </w:r>
            <w:r w:rsidR="00D80DE7">
              <w:rPr>
                <w:noProof/>
                <w:webHidden/>
              </w:rPr>
              <w:fldChar w:fldCharType="end"/>
            </w:r>
          </w:hyperlink>
        </w:p>
        <w:p w:rsidR="00DF0E62" w:rsidRDefault="00B6436B">
          <w:pPr>
            <w:pStyle w:val="TOC1"/>
            <w:tabs>
              <w:tab w:val="right" w:leader="dot" w:pos="9016"/>
            </w:tabs>
            <w:rPr>
              <w:noProof/>
            </w:rPr>
          </w:pPr>
          <w:hyperlink w:anchor="_Toc361742283" w:history="1">
            <w:r w:rsidR="00DF0E62" w:rsidRPr="00EE1AFC">
              <w:rPr>
                <w:rStyle w:val="Hyperlink"/>
                <w:noProof/>
              </w:rPr>
              <w:t>Appendix 5: List of personnel / organisations consulted</w:t>
            </w:r>
            <w:r w:rsidR="00DF0E62">
              <w:rPr>
                <w:noProof/>
                <w:webHidden/>
              </w:rPr>
              <w:tab/>
            </w:r>
            <w:r w:rsidR="00D80DE7">
              <w:rPr>
                <w:noProof/>
                <w:webHidden/>
              </w:rPr>
              <w:fldChar w:fldCharType="begin"/>
            </w:r>
            <w:r w:rsidR="00DF0E62">
              <w:rPr>
                <w:noProof/>
                <w:webHidden/>
              </w:rPr>
              <w:instrText xml:space="preserve"> PAGEREF _Toc361742283 \h </w:instrText>
            </w:r>
            <w:r w:rsidR="00D80DE7">
              <w:rPr>
                <w:noProof/>
                <w:webHidden/>
              </w:rPr>
            </w:r>
            <w:r w:rsidR="00D80DE7">
              <w:rPr>
                <w:noProof/>
                <w:webHidden/>
              </w:rPr>
              <w:fldChar w:fldCharType="separate"/>
            </w:r>
            <w:r w:rsidR="00DF0E62">
              <w:rPr>
                <w:noProof/>
                <w:webHidden/>
              </w:rPr>
              <w:t>19</w:t>
            </w:r>
            <w:r w:rsidR="00D80DE7">
              <w:rPr>
                <w:noProof/>
                <w:webHidden/>
              </w:rPr>
              <w:fldChar w:fldCharType="end"/>
            </w:r>
          </w:hyperlink>
        </w:p>
        <w:p w:rsidR="00A14708" w:rsidRDefault="00D80DE7">
          <w:r>
            <w:rPr>
              <w:b/>
              <w:bCs/>
              <w:noProof/>
            </w:rPr>
            <w:fldChar w:fldCharType="end"/>
          </w:r>
        </w:p>
      </w:sdtContent>
    </w:sdt>
    <w:p w:rsidR="00A14708" w:rsidRDefault="00A14708">
      <w:r>
        <w:br w:type="page"/>
      </w:r>
    </w:p>
    <w:p w:rsidR="00A35837" w:rsidRDefault="00A35837" w:rsidP="006D1222">
      <w:pPr>
        <w:sectPr w:rsidR="00A35837" w:rsidSect="00CC5235">
          <w:pgSz w:w="11906" w:h="16838"/>
          <w:pgMar w:top="1440" w:right="1440" w:bottom="1440" w:left="1440" w:header="708" w:footer="708" w:gutter="0"/>
          <w:cols w:space="708"/>
          <w:docGrid w:linePitch="360"/>
        </w:sectPr>
      </w:pPr>
    </w:p>
    <w:p w:rsidR="006D1222" w:rsidRDefault="006D1222" w:rsidP="006D1222"/>
    <w:p w:rsidR="006D1222" w:rsidRPr="00A35837" w:rsidRDefault="006D1222" w:rsidP="00A35837">
      <w:pPr>
        <w:pStyle w:val="Heading1"/>
      </w:pPr>
      <w:bookmarkStart w:id="1" w:name="_Toc361742265"/>
      <w:r w:rsidRPr="00AE10DB">
        <w:t>1.</w:t>
      </w:r>
      <w:r w:rsidRPr="00AE10DB">
        <w:tab/>
      </w:r>
      <w:r w:rsidRPr="00B26FF7">
        <w:rPr>
          <w:rStyle w:val="Heading1Char"/>
          <w:b/>
        </w:rPr>
        <w:t>INTRODUCTION</w:t>
      </w:r>
      <w:bookmarkEnd w:id="1"/>
    </w:p>
    <w:p w:rsidR="006D1222" w:rsidRDefault="006D1222" w:rsidP="00AE10DB">
      <w:pPr>
        <w:jc w:val="both"/>
      </w:pPr>
      <w:r>
        <w:t xml:space="preserve">The Government of Uganda </w:t>
      </w:r>
      <w:r w:rsidR="00CE5A24">
        <w:t xml:space="preserve">(GoU) </w:t>
      </w:r>
      <w:r>
        <w:t xml:space="preserve">is determined to deliver improved transport infrastructure and services.  To this end a large programme of publicly-funded projects is underway within the Ministry of Works and Transport </w:t>
      </w:r>
      <w:r w:rsidR="00A920F8">
        <w:t xml:space="preserve">(MoWT) </w:t>
      </w:r>
      <w:r>
        <w:t xml:space="preserve">and its agencies.  </w:t>
      </w:r>
      <w:r w:rsidR="000E54D3">
        <w:t>T</w:t>
      </w:r>
      <w:r>
        <w:t xml:space="preserve">he </w:t>
      </w:r>
      <w:r w:rsidR="00CE5A24">
        <w:t xml:space="preserve">GoU </w:t>
      </w:r>
      <w:r>
        <w:t>has adopted a P</w:t>
      </w:r>
      <w:r w:rsidR="00B26FF7">
        <w:t>ublic Private Partnership (PPP)</w:t>
      </w:r>
      <w:r w:rsidR="00B26FF7">
        <w:rPr>
          <w:rStyle w:val="FootnoteReference"/>
        </w:rPr>
        <w:footnoteReference w:id="1"/>
      </w:r>
      <w:r w:rsidR="00B26FF7">
        <w:t xml:space="preserve"> Policy</w:t>
      </w:r>
      <w:r>
        <w:t xml:space="preserve"> designed to increase the potential resource base for a wide range of infrastructure and services</w:t>
      </w:r>
      <w:r w:rsidR="000E54D3">
        <w:t>, and is in the process of enacting a PPP Bill</w:t>
      </w:r>
      <w:r w:rsidR="000E54D3">
        <w:rPr>
          <w:rStyle w:val="FootnoteReference"/>
        </w:rPr>
        <w:footnoteReference w:id="2"/>
      </w:r>
      <w:r w:rsidR="000E54D3">
        <w:t>: these Guidelines have been prepared to be in accord with the provisions of the Bill as laid before Parliament in March 2013.</w:t>
      </w:r>
    </w:p>
    <w:p w:rsidR="006D1222" w:rsidRDefault="006D1222" w:rsidP="00AE10DB">
      <w:pPr>
        <w:jc w:val="both"/>
      </w:pPr>
      <w:r>
        <w:t xml:space="preserve">The </w:t>
      </w:r>
      <w:r w:rsidR="00A920F8">
        <w:t>MoWT</w:t>
      </w:r>
      <w:r>
        <w:t>, in pursuance of the PPP Policy</w:t>
      </w:r>
      <w:r w:rsidR="00A920F8">
        <w:t>,</w:t>
      </w:r>
      <w:r>
        <w:t xml:space="preserve"> is seeking to engage with the private sector in the development and delivery of new</w:t>
      </w:r>
      <w:r w:rsidR="00F129BB">
        <w:t xml:space="preserve"> transport</w:t>
      </w:r>
      <w:r>
        <w:t xml:space="preserve"> infrastructure and services.  The </w:t>
      </w:r>
      <w:r w:rsidR="00A920F8">
        <w:t xml:space="preserve">MoWT wishes to </w:t>
      </w:r>
      <w:r>
        <w:t xml:space="preserve">encourage the best ideas and solutions from the private sector and a greater level of private sector investment and participation in projects, with rigorous planning and costing to deliver the highest standards of public value – and confidence to investors, stakeholders and the public. </w:t>
      </w:r>
    </w:p>
    <w:p w:rsidR="00992870" w:rsidRDefault="005552F1" w:rsidP="00992870">
      <w:pPr>
        <w:jc w:val="both"/>
      </w:pPr>
      <w:r>
        <w:t xml:space="preserve">While most projects </w:t>
      </w:r>
      <w:r w:rsidR="00A920F8">
        <w:t xml:space="preserve">involving the private sector </w:t>
      </w:r>
      <w:r>
        <w:t>will be procured through normal competitive procurement processes</w:t>
      </w:r>
      <w:r w:rsidR="004E795F">
        <w:t xml:space="preserve"> (governed and guided by the </w:t>
      </w:r>
      <w:r w:rsidR="00CE5A24" w:rsidRPr="00CE5A24">
        <w:t>Public Procurement and Disposal of Public Assets</w:t>
      </w:r>
      <w:r w:rsidR="00CE5A24">
        <w:t xml:space="preserve"> (</w:t>
      </w:r>
      <w:r w:rsidR="004E795F">
        <w:t>PPDA</w:t>
      </w:r>
      <w:r w:rsidR="00CE5A24">
        <w:t>)</w:t>
      </w:r>
      <w:r w:rsidR="004E795F">
        <w:t xml:space="preserve"> Act)</w:t>
      </w:r>
      <w:r w:rsidR="00A920F8">
        <w:t>, it is inevitable that MoWT will also receive unsolicited bids/proposals from the private sector seeking to offer new and innovative ideas.</w:t>
      </w:r>
      <w:r w:rsidR="00992870">
        <w:t xml:space="preserve"> </w:t>
      </w:r>
      <w:r w:rsidR="00992870" w:rsidRPr="00992870">
        <w:t xml:space="preserve"> </w:t>
      </w:r>
      <w:r w:rsidR="00992870">
        <w:t xml:space="preserve">An Unsolicited Proposal </w:t>
      </w:r>
      <w:r w:rsidR="00012926">
        <w:t xml:space="preserve">(USP) </w:t>
      </w:r>
      <w:r w:rsidR="00992870">
        <w:t>is defined as an</w:t>
      </w:r>
      <w:r w:rsidR="00B26FF7">
        <w:t xml:space="preserve"> approach to </w:t>
      </w:r>
      <w:r w:rsidR="005221C9">
        <w:t xml:space="preserve">MoWT </w:t>
      </w:r>
      <w:r w:rsidR="00B26FF7">
        <w:t>from a P</w:t>
      </w:r>
      <w:r w:rsidR="00992870">
        <w:t>roponent</w:t>
      </w:r>
      <w:r w:rsidR="005221C9">
        <w:rPr>
          <w:rStyle w:val="FootnoteReference"/>
        </w:rPr>
        <w:footnoteReference w:id="3"/>
      </w:r>
      <w:r w:rsidR="00992870">
        <w:t xml:space="preserve"> with a proposal to build and/or finance infrastructure, and/or provide goods or services, or manage a facility</w:t>
      </w:r>
      <w:r w:rsidR="00012926">
        <w:t>,</w:t>
      </w:r>
      <w:r w:rsidR="00992870">
        <w:t xml:space="preserve"> where </w:t>
      </w:r>
      <w:r w:rsidR="005221C9">
        <w:t xml:space="preserve">MoWT </w:t>
      </w:r>
      <w:r w:rsidR="00992870">
        <w:t>has not requested the proposal.</w:t>
      </w:r>
    </w:p>
    <w:p w:rsidR="00CE5A24" w:rsidRPr="00CE5A24" w:rsidRDefault="006D1222" w:rsidP="00CE5A24">
      <w:pPr>
        <w:jc w:val="both"/>
      </w:pPr>
      <w:r>
        <w:t>Th</w:t>
      </w:r>
      <w:r w:rsidR="007409CD">
        <w:t>ese</w:t>
      </w:r>
      <w:r>
        <w:t xml:space="preserve"> Guide</w:t>
      </w:r>
      <w:r w:rsidR="007409CD">
        <w:t>lines</w:t>
      </w:r>
      <w:r>
        <w:t xml:space="preserve"> for Submission and Assessment of Unsolicited Proposals outline a </w:t>
      </w:r>
      <w:r w:rsidR="007409CD">
        <w:t xml:space="preserve">systematic, </w:t>
      </w:r>
      <w:r>
        <w:t xml:space="preserve">transparent and streamlined approach that will facilitate the </w:t>
      </w:r>
      <w:r w:rsidR="00992870">
        <w:t xml:space="preserve">MoWT </w:t>
      </w:r>
      <w:r>
        <w:t xml:space="preserve">and </w:t>
      </w:r>
      <w:r w:rsidR="007409CD">
        <w:t xml:space="preserve">the </w:t>
      </w:r>
      <w:r>
        <w:t xml:space="preserve">private sector working together to develop and deliver </w:t>
      </w:r>
      <w:r w:rsidR="00A920F8">
        <w:t xml:space="preserve">this </w:t>
      </w:r>
      <w:r>
        <w:t>innovati</w:t>
      </w:r>
      <w:r w:rsidR="00A920F8">
        <w:t>on</w:t>
      </w:r>
      <w:r>
        <w:t xml:space="preserve">. </w:t>
      </w:r>
      <w:r w:rsidR="00EF2662" w:rsidRPr="00EF2662">
        <w:rPr>
          <w:color w:val="000000" w:themeColor="text1"/>
        </w:rPr>
        <w:t xml:space="preserve">They represent a commitment by the MoWT to the allocation of resources to meet its responsibilities as outlined in these Guidelines.  </w:t>
      </w:r>
      <w:r w:rsidR="00CE5A24" w:rsidRPr="00CE5A24">
        <w:t xml:space="preserve">The Guidelines do not address the procurement of goods and services by processes described within the </w:t>
      </w:r>
      <w:r w:rsidR="00CE5A24">
        <w:t xml:space="preserve">PPDA </w:t>
      </w:r>
      <w:r w:rsidR="00C55616">
        <w:t xml:space="preserve">Act and </w:t>
      </w:r>
      <w:r w:rsidR="002D1C3E">
        <w:t xml:space="preserve">hence </w:t>
      </w:r>
      <w:r w:rsidR="00C55616">
        <w:t>which are procured through existing procedures of the MoWT.</w:t>
      </w:r>
      <w:r w:rsidR="00C941ED">
        <w:t xml:space="preserve">  </w:t>
      </w:r>
    </w:p>
    <w:p w:rsidR="00B26FF7" w:rsidRDefault="00A920F8" w:rsidP="004E171A">
      <w:pPr>
        <w:jc w:val="both"/>
      </w:pPr>
      <w:r>
        <w:t>The</w:t>
      </w:r>
      <w:r w:rsidR="006D1222">
        <w:t xml:space="preserve"> key objective </w:t>
      </w:r>
      <w:r>
        <w:t xml:space="preserve">of this document </w:t>
      </w:r>
      <w:r w:rsidR="006D1222">
        <w:t xml:space="preserve">is to provide </w:t>
      </w:r>
      <w:r w:rsidR="007409CD">
        <w:t xml:space="preserve">a framework </w:t>
      </w:r>
      <w:r w:rsidR="00992870">
        <w:t>which</w:t>
      </w:r>
      <w:r>
        <w:t xml:space="preserve"> can be used by MoWT to ensure </w:t>
      </w:r>
      <w:r w:rsidR="00B26FF7">
        <w:t xml:space="preserve">a </w:t>
      </w:r>
      <w:r w:rsidR="006D1222">
        <w:t>consisten</w:t>
      </w:r>
      <w:r w:rsidR="00B26FF7">
        <w:t>t, transparent</w:t>
      </w:r>
      <w:r>
        <w:t xml:space="preserve"> approach in dealing with unsolicited proposals and in assessing how </w:t>
      </w:r>
      <w:r w:rsidR="00992870">
        <w:t xml:space="preserve">a </w:t>
      </w:r>
      <w:r>
        <w:t xml:space="preserve">proposal </w:t>
      </w:r>
      <w:r w:rsidRPr="00012926">
        <w:t>helps meet strategic Government objectives</w:t>
      </w:r>
      <w:r>
        <w:t xml:space="preserve"> and </w:t>
      </w:r>
      <w:r w:rsidR="00992870">
        <w:t xml:space="preserve">offers </w:t>
      </w:r>
      <w:r>
        <w:t>value for money.  In turn this will provide</w:t>
      </w:r>
      <w:r w:rsidR="006D1222">
        <w:t xml:space="preserve"> certainty to private sector participants as to how their unsolicited proposals will be</w:t>
      </w:r>
      <w:r w:rsidR="007409CD">
        <w:t xml:space="preserve"> processed and</w:t>
      </w:r>
      <w:r w:rsidR="006D1222">
        <w:t xml:space="preserve"> assessed within a transparent framework. </w:t>
      </w:r>
      <w:r w:rsidR="00F949A4">
        <w:t xml:space="preserve"> </w:t>
      </w:r>
      <w:r w:rsidR="00B26FF7">
        <w:t>Explanatory Notes have been included within Appendix</w:t>
      </w:r>
      <w:r w:rsidR="00C55616">
        <w:t xml:space="preserve"> 1</w:t>
      </w:r>
      <w:r w:rsidR="00B26FF7">
        <w:t xml:space="preserve"> to this document for the guidance of the reader</w:t>
      </w:r>
      <w:r w:rsidR="001666EC">
        <w:t>, and referred to in th</w:t>
      </w:r>
      <w:r w:rsidR="00940837">
        <w:t>is</w:t>
      </w:r>
      <w:r w:rsidR="001666EC">
        <w:t xml:space="preserve"> text </w:t>
      </w:r>
      <w:r w:rsidR="00940837">
        <w:t xml:space="preserve">by means of </w:t>
      </w:r>
      <w:r w:rsidR="00940837" w:rsidRPr="00940837">
        <w:rPr>
          <w:i/>
        </w:rPr>
        <w:t>Note x</w:t>
      </w:r>
      <w:r w:rsidR="00B26FF7">
        <w:t xml:space="preserve">. </w:t>
      </w:r>
      <w:r w:rsidR="00F949A4">
        <w:t>A separate s</w:t>
      </w:r>
      <w:r w:rsidR="004E795F">
        <w:t>ummary of the</w:t>
      </w:r>
      <w:r w:rsidR="00F949A4">
        <w:t>se</w:t>
      </w:r>
      <w:r w:rsidR="004E795F">
        <w:t xml:space="preserve"> </w:t>
      </w:r>
      <w:r w:rsidR="009F048F">
        <w:t xml:space="preserve">Guidelines </w:t>
      </w:r>
      <w:r w:rsidR="009F048F">
        <w:rPr>
          <w:rStyle w:val="FootnoteReference"/>
        </w:rPr>
        <w:footnoteReference w:id="4"/>
      </w:r>
      <w:r w:rsidR="00A25B07">
        <w:t xml:space="preserve"> </w:t>
      </w:r>
      <w:r w:rsidR="004E795F">
        <w:t>has been prepared for the information of private sector participants</w:t>
      </w:r>
      <w:r w:rsidR="00F949A4">
        <w:t xml:space="preserve"> / project Proponents</w:t>
      </w:r>
      <w:r w:rsidR="00EF2662">
        <w:t xml:space="preserve"> which can be used by them in developing their Unsolicited Proposals</w:t>
      </w:r>
      <w:r w:rsidR="0022352F">
        <w:t>.</w:t>
      </w:r>
      <w:r w:rsidR="00B26FF7">
        <w:br w:type="page"/>
      </w:r>
    </w:p>
    <w:p w:rsidR="006D1222" w:rsidRPr="00AE10DB" w:rsidRDefault="00AE10DB" w:rsidP="00B26FF7">
      <w:pPr>
        <w:pStyle w:val="Heading1"/>
      </w:pPr>
      <w:bookmarkStart w:id="2" w:name="_Toc361742266"/>
      <w:r w:rsidRPr="00AE10DB">
        <w:lastRenderedPageBreak/>
        <w:t>2</w:t>
      </w:r>
      <w:r w:rsidRPr="00AE10DB">
        <w:tab/>
        <w:t>SUMMARY OF THE PROCESS</w:t>
      </w:r>
      <w:bookmarkEnd w:id="2"/>
    </w:p>
    <w:p w:rsidR="006D1222" w:rsidRDefault="006D1222" w:rsidP="00E9162E">
      <w:pPr>
        <w:jc w:val="both"/>
      </w:pPr>
      <w:r>
        <w:t>The</w:t>
      </w:r>
      <w:r w:rsidR="009B16E8">
        <w:t xml:space="preserve"> MoWT</w:t>
      </w:r>
      <w:r>
        <w:t xml:space="preserve">, and its agencies, procures projects, goods and services </w:t>
      </w:r>
      <w:r w:rsidR="00E3130F">
        <w:t xml:space="preserve">in accordance with the provisions of the PPDA Act. </w:t>
      </w:r>
      <w:r w:rsidR="00EF2662">
        <w:t>T</w:t>
      </w:r>
      <w:r w:rsidR="00E3130F">
        <w:t xml:space="preserve">he predominant method of procurement </w:t>
      </w:r>
      <w:r w:rsidR="00EF2662">
        <w:t xml:space="preserve">used is </w:t>
      </w:r>
      <w:r>
        <w:t xml:space="preserve">the competitive tendering process </w:t>
      </w:r>
      <w:r w:rsidR="00EF2662">
        <w:t xml:space="preserve">by which </w:t>
      </w:r>
      <w:r>
        <w:t xml:space="preserve">the </w:t>
      </w:r>
      <w:r w:rsidR="00E44EBA">
        <w:t xml:space="preserve">MoWT </w:t>
      </w:r>
      <w:r>
        <w:t>proactively invites tenders for projects, goods or services.</w:t>
      </w:r>
      <w:r w:rsidR="00EF2662">
        <w:t xml:space="preserve">  However the PPDA Act also allows for direct procurement where exceptional circumstances prevent the use of competition</w:t>
      </w:r>
      <w:r w:rsidR="00EF2662">
        <w:rPr>
          <w:rStyle w:val="FootnoteReference"/>
        </w:rPr>
        <w:footnoteReference w:id="5"/>
      </w:r>
      <w:r>
        <w:t xml:space="preserve">. </w:t>
      </w:r>
      <w:r w:rsidR="004E171A">
        <w:t xml:space="preserve"> And the PPP Bill allows for Unsolicited Proposals where the infrastructure or services to be provided involves an innovative design, or innovative approach to project development and management, or presents a new and cost effective method of service delivery.</w:t>
      </w:r>
      <w:r w:rsidR="00E9162E">
        <w:rPr>
          <w:rStyle w:val="FootnoteReference"/>
        </w:rPr>
        <w:footnoteReference w:id="6"/>
      </w:r>
    </w:p>
    <w:p w:rsidR="00796BF2" w:rsidRDefault="006D1222" w:rsidP="00796BF2">
      <w:pPr>
        <w:jc w:val="both"/>
      </w:pPr>
      <w:r>
        <w:t xml:space="preserve">The </w:t>
      </w:r>
      <w:r w:rsidR="00E44EBA">
        <w:t xml:space="preserve">MoWT </w:t>
      </w:r>
      <w:r>
        <w:t xml:space="preserve">is seeking to capture innovative ideas from the private sector that provide </w:t>
      </w:r>
      <w:r w:rsidR="007409CD">
        <w:t xml:space="preserve">off budget </w:t>
      </w:r>
      <w:r>
        <w:t xml:space="preserve">real and tangible benefit to the people of Uganda.   The Ministry will </w:t>
      </w:r>
      <w:r w:rsidR="0022352F">
        <w:t xml:space="preserve">therefore </w:t>
      </w:r>
      <w:r>
        <w:t>consider an Unsolicited Proposal where circumstances support this approach</w:t>
      </w:r>
      <w:r w:rsidR="0022352F">
        <w:t>,</w:t>
      </w:r>
      <w:r>
        <w:t xml:space="preserve"> and at its absolute discretion.  </w:t>
      </w:r>
      <w:r w:rsidR="00796BF2">
        <w:t xml:space="preserve">The assessment of Unsolicited Proposals shall be </w:t>
      </w:r>
      <w:r w:rsidR="00A33598">
        <w:t xml:space="preserve">performed in a manner which is </w:t>
      </w:r>
      <w:r w:rsidR="00796BF2">
        <w:t xml:space="preserve">fair, open and participatory and shall demonstrate the highest levels of probity consistent with public interest.  </w:t>
      </w:r>
    </w:p>
    <w:p w:rsidR="006D1222" w:rsidRDefault="006D1222" w:rsidP="00AE10DB">
      <w:pPr>
        <w:jc w:val="both"/>
      </w:pPr>
      <w:r>
        <w:t xml:space="preserve">A three stage process has been developed to guide the </w:t>
      </w:r>
      <w:r w:rsidR="00012926">
        <w:t xml:space="preserve">processing </w:t>
      </w:r>
      <w:r>
        <w:t xml:space="preserve">of </w:t>
      </w:r>
      <w:r w:rsidR="004449BD">
        <w:t>such P</w:t>
      </w:r>
      <w:r>
        <w:t xml:space="preserve">roposals. This is described in detail in section </w:t>
      </w:r>
      <w:r w:rsidR="00F908B6" w:rsidRPr="00F908B6">
        <w:rPr>
          <w:color w:val="000000" w:themeColor="text1"/>
        </w:rPr>
        <w:t>4</w:t>
      </w:r>
      <w:r w:rsidR="0019660A">
        <w:t xml:space="preserve">, and illustrated in Appendix 2. </w:t>
      </w:r>
      <w:r>
        <w:t xml:space="preserve">The process involves: </w:t>
      </w:r>
    </w:p>
    <w:p w:rsidR="006D1222" w:rsidRDefault="006D1222" w:rsidP="00AE10DB">
      <w:pPr>
        <w:jc w:val="both"/>
      </w:pPr>
      <w:r w:rsidRPr="00733460">
        <w:rPr>
          <w:b/>
        </w:rPr>
        <w:t>Stage 1</w:t>
      </w:r>
      <w:r>
        <w:t xml:space="preserve"> - </w:t>
      </w:r>
      <w:r w:rsidRPr="00A95828">
        <w:rPr>
          <w:b/>
          <w:u w:val="single"/>
        </w:rPr>
        <w:t>Initial Submission and Strategic Assessment</w:t>
      </w:r>
      <w:r>
        <w:t xml:space="preserve"> includes a</w:t>
      </w:r>
      <w:r w:rsidR="00A25B07">
        <w:t>n</w:t>
      </w:r>
      <w:r>
        <w:t xml:space="preserve"> initial assessment of the proposal to identify </w:t>
      </w:r>
      <w:r w:rsidR="00CA4F89">
        <w:t xml:space="preserve">whether it is in the public interest and </w:t>
      </w:r>
      <w:r>
        <w:t xml:space="preserve">the potential benefit to </w:t>
      </w:r>
      <w:r w:rsidR="005221C9">
        <w:t xml:space="preserve">MoWT </w:t>
      </w:r>
      <w:r>
        <w:t xml:space="preserve">of further consideration and </w:t>
      </w:r>
      <w:r w:rsidR="00733460">
        <w:t>d</w:t>
      </w:r>
      <w:r>
        <w:t xml:space="preserve">evelopment. </w:t>
      </w:r>
      <w:r w:rsidR="004F013B">
        <w:t xml:space="preserve">It will also include an assessment of whether the project </w:t>
      </w:r>
      <w:r w:rsidR="00A95828">
        <w:t>has unique</w:t>
      </w:r>
      <w:r w:rsidR="00534935">
        <w:t xml:space="preserve"> or innovative</w:t>
      </w:r>
      <w:r w:rsidR="00A95828">
        <w:t xml:space="preserve"> characteristics</w:t>
      </w:r>
      <w:r w:rsidR="00012926">
        <w:t>,</w:t>
      </w:r>
      <w:r w:rsidR="00A95828">
        <w:t xml:space="preserve"> or </w:t>
      </w:r>
      <w:r w:rsidR="004F013B">
        <w:t xml:space="preserve">is capable of being tendered competitively. </w:t>
      </w:r>
      <w:r>
        <w:t xml:space="preserve">The outcome is advice to the Proponent of progression to Stage 2, </w:t>
      </w:r>
      <w:r w:rsidR="004F013B">
        <w:t xml:space="preserve">or that the </w:t>
      </w:r>
      <w:r w:rsidR="005221C9">
        <w:t xml:space="preserve">MoWT </w:t>
      </w:r>
      <w:r w:rsidR="004F013B">
        <w:t xml:space="preserve">wishes to subject the proposal to competitive tendering, </w:t>
      </w:r>
      <w:r>
        <w:t xml:space="preserve">or that the </w:t>
      </w:r>
      <w:r w:rsidR="005221C9">
        <w:t xml:space="preserve">MoWT </w:t>
      </w:r>
      <w:r>
        <w:t xml:space="preserve">does not wish to proceed. </w:t>
      </w:r>
      <w:r w:rsidR="00733460">
        <w:t xml:space="preserve"> If </w:t>
      </w:r>
      <w:r w:rsidR="005221C9">
        <w:t xml:space="preserve">MoWT </w:t>
      </w:r>
      <w:r w:rsidR="00733460">
        <w:t>wishes to proceed to Stage 2</w:t>
      </w:r>
      <w:r w:rsidR="004F013B">
        <w:t xml:space="preserve"> with the Proponent</w:t>
      </w:r>
      <w:r w:rsidR="00733460">
        <w:t xml:space="preserve">, then the arrangements for Stage 2 should be contained in a </w:t>
      </w:r>
      <w:r w:rsidR="00F129BB">
        <w:t>Participation Agreement.</w:t>
      </w:r>
    </w:p>
    <w:p w:rsidR="006D1222" w:rsidRDefault="006D1222" w:rsidP="00AE10DB">
      <w:pPr>
        <w:jc w:val="both"/>
      </w:pPr>
      <w:r w:rsidRPr="00733460">
        <w:rPr>
          <w:b/>
        </w:rPr>
        <w:t>Stage 2</w:t>
      </w:r>
      <w:r>
        <w:t xml:space="preserve"> - </w:t>
      </w:r>
      <w:r w:rsidRPr="00A95828">
        <w:rPr>
          <w:b/>
          <w:u w:val="single"/>
        </w:rPr>
        <w:t>Detailed Proposal</w:t>
      </w:r>
      <w:r>
        <w:t xml:space="preserve"> requires the Proponent </w:t>
      </w:r>
      <w:r w:rsidR="004F013B">
        <w:t xml:space="preserve">to develop the </w:t>
      </w:r>
      <w:r w:rsidR="00012926">
        <w:t xml:space="preserve">USP </w:t>
      </w:r>
      <w:r w:rsidR="004F013B">
        <w:t>further</w:t>
      </w:r>
      <w:r w:rsidR="00012926">
        <w:t xml:space="preserve"> to produce a Detailed Proposal</w:t>
      </w:r>
      <w:r w:rsidR="004F013B">
        <w:t xml:space="preserve">, and then for the </w:t>
      </w:r>
      <w:r w:rsidR="005221C9">
        <w:t xml:space="preserve">MoWT </w:t>
      </w:r>
      <w:r w:rsidR="004F013B">
        <w:t xml:space="preserve">to perform a review and </w:t>
      </w:r>
      <w:r>
        <w:t xml:space="preserve">assessment of </w:t>
      </w:r>
      <w:r w:rsidR="004F013B">
        <w:t>the</w:t>
      </w:r>
      <w:r>
        <w:t xml:space="preserve"> Detailed Proposal.  </w:t>
      </w:r>
      <w:r w:rsidR="00012926">
        <w:t xml:space="preserve">The MoWT will also again consider whether the project is capable of being tendered competitively. </w:t>
      </w:r>
      <w:r>
        <w:t xml:space="preserve">The outcome is advice to the Proponent of progression to Stage 3, or that the </w:t>
      </w:r>
      <w:r w:rsidR="005221C9">
        <w:t xml:space="preserve">MoWT </w:t>
      </w:r>
      <w:r>
        <w:t xml:space="preserve">does not wish to proceed. </w:t>
      </w:r>
    </w:p>
    <w:p w:rsidR="006D1222" w:rsidRDefault="006D1222" w:rsidP="00AE10DB">
      <w:pPr>
        <w:jc w:val="both"/>
      </w:pPr>
      <w:r w:rsidRPr="00733460">
        <w:rPr>
          <w:b/>
        </w:rPr>
        <w:t>Stage 3</w:t>
      </w:r>
      <w:r>
        <w:t xml:space="preserve"> - </w:t>
      </w:r>
      <w:r w:rsidRPr="00A95828">
        <w:rPr>
          <w:b/>
          <w:u w:val="single"/>
        </w:rPr>
        <w:t>Negotiation of Final Binding Offer</w:t>
      </w:r>
      <w:r>
        <w:t xml:space="preserve"> involves the </w:t>
      </w:r>
      <w:r w:rsidR="00012926">
        <w:t xml:space="preserve">submission of a Final Binding Offer by the Proponent, and negotiation and </w:t>
      </w:r>
      <w:r>
        <w:t xml:space="preserve">finalisation of all outstanding issues with a view to entering into a binding agreement, should the </w:t>
      </w:r>
      <w:r w:rsidR="005221C9">
        <w:t xml:space="preserve">MoWT </w:t>
      </w:r>
      <w:r>
        <w:t xml:space="preserve">accept the </w:t>
      </w:r>
      <w:r w:rsidR="00012926">
        <w:t>Final Binding Offer</w:t>
      </w:r>
      <w:r>
        <w:t xml:space="preserve">. </w:t>
      </w:r>
    </w:p>
    <w:p w:rsidR="006D1222" w:rsidRDefault="006D1222" w:rsidP="00AE10DB">
      <w:pPr>
        <w:jc w:val="both"/>
      </w:pPr>
      <w:r>
        <w:t xml:space="preserve">It is recognised that a Proponent will be entitled to a return for its involvement in a project and that outcomes should be mutually beneficial for the Proponent and </w:t>
      </w:r>
      <w:r w:rsidR="00733460">
        <w:t>the</w:t>
      </w:r>
      <w:r w:rsidR="005221C9">
        <w:t xml:space="preserve"> MoWT</w:t>
      </w:r>
      <w:r>
        <w:t xml:space="preserve">. Further, </w:t>
      </w:r>
      <w:r w:rsidR="00733460">
        <w:t>the Ministry</w:t>
      </w:r>
      <w:r>
        <w:t xml:space="preserve"> recognises the right of Proponents to derive benefit </w:t>
      </w:r>
      <w:r w:rsidR="00F129BB">
        <w:t xml:space="preserve">from unique ideas.  </w:t>
      </w:r>
      <w:r w:rsidR="004F013B">
        <w:t>Therefore following Stage</w:t>
      </w:r>
      <w:r w:rsidR="00012926">
        <w:t>s</w:t>
      </w:r>
      <w:r w:rsidR="004F013B">
        <w:t xml:space="preserve"> 1</w:t>
      </w:r>
      <w:r w:rsidR="00012926">
        <w:t xml:space="preserve"> or 2</w:t>
      </w:r>
      <w:r w:rsidR="004F013B">
        <w:t xml:space="preserve">, should the </w:t>
      </w:r>
      <w:r w:rsidR="005221C9">
        <w:t xml:space="preserve">MoWT </w:t>
      </w:r>
      <w:r w:rsidR="004F013B">
        <w:t xml:space="preserve">decide to proceed to competitively tender the ideas contained in the proposal, the Proponent will be rewarded for its initiative </w:t>
      </w:r>
      <w:r w:rsidR="00012926">
        <w:t xml:space="preserve">with a guaranteed seat at the final round of bidding in a </w:t>
      </w:r>
      <w:r w:rsidR="00612CF8">
        <w:t>BAFO process</w:t>
      </w:r>
      <w:r w:rsidR="005221C9">
        <w:t xml:space="preserve"> (</w:t>
      </w:r>
      <w:r w:rsidR="009C1F76" w:rsidRPr="00940837">
        <w:rPr>
          <w:i/>
        </w:rPr>
        <w:t>N</w:t>
      </w:r>
      <w:r w:rsidR="005221C9" w:rsidRPr="00940837">
        <w:rPr>
          <w:i/>
        </w:rPr>
        <w:t>ote</w:t>
      </w:r>
      <w:r w:rsidR="00B46983">
        <w:rPr>
          <w:i/>
        </w:rPr>
        <w:t xml:space="preserve"> 2</w:t>
      </w:r>
      <w:r w:rsidR="005221C9" w:rsidRPr="00940837">
        <w:rPr>
          <w:i/>
        </w:rPr>
        <w:t>)</w:t>
      </w:r>
      <w:r w:rsidR="005221C9">
        <w:t xml:space="preserve"> </w:t>
      </w:r>
      <w:r w:rsidR="004F013B">
        <w:t xml:space="preserve">during the competitive tender.  </w:t>
      </w:r>
    </w:p>
    <w:p w:rsidR="00012926" w:rsidRDefault="00012926" w:rsidP="00012926">
      <w:pPr>
        <w:jc w:val="both"/>
      </w:pPr>
      <w:r>
        <w:lastRenderedPageBreak/>
        <w:t xml:space="preserve">At times, a Proponent may wish to present an idea or initial proposal (concept) to the Ministry of Works and Transport that, if implemented, may provide real benefit to Uganda.  The purpose in approaching Government may be because the Proponent is seeking to increase the number of projects being offered to the market rather than to directly negotiate an outcome.  If the Proponent agrees with MoWT to develop the Initial Proposal into a Detailed Proposal the MoWT may at its sole discretion agree to reimburse direct costs incurred in the development of the Detailed Proposal in Stage 2 (see </w:t>
      </w:r>
      <w:r w:rsidRPr="00012926">
        <w:rPr>
          <w:i/>
        </w:rPr>
        <w:t>Note 3</w:t>
      </w:r>
      <w:r>
        <w:t>).</w:t>
      </w:r>
    </w:p>
    <w:p w:rsidR="006D1222" w:rsidRDefault="006D1222" w:rsidP="00AE10DB">
      <w:pPr>
        <w:jc w:val="both"/>
      </w:pPr>
      <w:r>
        <w:t>While negotiation of Unsolicited Proposals may be pursued</w:t>
      </w:r>
      <w:r w:rsidR="003E2ABB">
        <w:t xml:space="preserve"> on a sole-source basis</w:t>
      </w:r>
      <w:r w:rsidR="00A50E9E">
        <w:t xml:space="preserve"> “where the circumstances do not permit a competitive method</w:t>
      </w:r>
      <w:r w:rsidR="00A50E9E">
        <w:rPr>
          <w:rStyle w:val="FootnoteReference"/>
        </w:rPr>
        <w:footnoteReference w:id="7"/>
      </w:r>
      <w:r w:rsidR="00A50E9E">
        <w:t>”</w:t>
      </w:r>
      <w:r>
        <w:t xml:space="preserve">, </w:t>
      </w:r>
      <w:r w:rsidR="00733460">
        <w:t>the Ministry of Works and Transport</w:t>
      </w:r>
      <w:r w:rsidR="00F129BB">
        <w:t>’s</w:t>
      </w:r>
      <w:r>
        <w:t xml:space="preserve"> default procurement approach is to test the market. This generally results in the demonstrable achievement of value-for-money outcomes and provides fair and equal opportunities for private sector participants to </w:t>
      </w:r>
      <w:r w:rsidR="00F129BB">
        <w:t xml:space="preserve">do business with Government.  </w:t>
      </w:r>
      <w:r>
        <w:t xml:space="preserve">As such, </w:t>
      </w:r>
      <w:r w:rsidR="00C6395F">
        <w:t xml:space="preserve">for an </w:t>
      </w:r>
      <w:r>
        <w:t xml:space="preserve">Unsolicited Proposals </w:t>
      </w:r>
      <w:r w:rsidR="00C6395F">
        <w:t xml:space="preserve">to be pursued on a sole source basis it will need to </w:t>
      </w:r>
      <w:r>
        <w:t xml:space="preserve">include unique elements that provide justification for entering into direct </w:t>
      </w:r>
      <w:r w:rsidR="002D1C3E">
        <w:t xml:space="preserve">procurement from </w:t>
      </w:r>
      <w:r>
        <w:t xml:space="preserve">the Proponent. The unique elements may include characteristics such as: </w:t>
      </w:r>
    </w:p>
    <w:p w:rsidR="006D1222" w:rsidRDefault="006D1222" w:rsidP="00733460">
      <w:pPr>
        <w:pStyle w:val="ListParagraph"/>
        <w:numPr>
          <w:ilvl w:val="0"/>
          <w:numId w:val="2"/>
        </w:numPr>
      </w:pPr>
      <w:r>
        <w:t>Intellectual propert</w:t>
      </w:r>
      <w:r w:rsidR="00733460">
        <w:t>y or genuinely innovative ideas</w:t>
      </w:r>
      <w:r w:rsidR="009C1F76">
        <w:t>, eg unique design</w:t>
      </w:r>
      <w:r w:rsidR="00B32F22">
        <w:t xml:space="preserve"> or development approach</w:t>
      </w:r>
      <w:r w:rsidR="00733460">
        <w:t>;</w:t>
      </w:r>
    </w:p>
    <w:p w:rsidR="006D1222" w:rsidRDefault="006D1222" w:rsidP="00733460">
      <w:pPr>
        <w:pStyle w:val="ListParagraph"/>
        <w:numPr>
          <w:ilvl w:val="0"/>
          <w:numId w:val="2"/>
        </w:numPr>
      </w:pPr>
      <w:r>
        <w:t>Ownership of</w:t>
      </w:r>
      <w:r w:rsidR="00733460">
        <w:t xml:space="preserve"> real property;</w:t>
      </w:r>
    </w:p>
    <w:p w:rsidR="006D1222" w:rsidRDefault="006D1222" w:rsidP="00733460">
      <w:pPr>
        <w:pStyle w:val="ListParagraph"/>
        <w:numPr>
          <w:ilvl w:val="0"/>
          <w:numId w:val="2"/>
        </w:numPr>
      </w:pPr>
      <w:r>
        <w:t>Ownership of software or techn</w:t>
      </w:r>
      <w:r w:rsidR="00733460">
        <w:t>ology offering a unique benefit;</w:t>
      </w:r>
    </w:p>
    <w:p w:rsidR="006D1222" w:rsidRDefault="00733460" w:rsidP="00733460">
      <w:pPr>
        <w:pStyle w:val="ListParagraph"/>
        <w:numPr>
          <w:ilvl w:val="0"/>
          <w:numId w:val="2"/>
        </w:numPr>
      </w:pPr>
      <w:r>
        <w:t xml:space="preserve">Unique </w:t>
      </w:r>
      <w:r w:rsidR="00B32F22">
        <w:t xml:space="preserve">and cost effective </w:t>
      </w:r>
      <w:r>
        <w:t>financial arrangements;</w:t>
      </w:r>
    </w:p>
    <w:p w:rsidR="006D1222" w:rsidRDefault="006D1222" w:rsidP="00733460">
      <w:pPr>
        <w:pStyle w:val="ListParagraph"/>
        <w:numPr>
          <w:ilvl w:val="0"/>
          <w:numId w:val="2"/>
        </w:numPr>
      </w:pPr>
      <w:r>
        <w:t>Unique ability</w:t>
      </w:r>
      <w:r w:rsidR="00733460">
        <w:t xml:space="preserve"> to deliver a strategic outcome</w:t>
      </w:r>
      <w:r w:rsidR="00B32F22">
        <w:t xml:space="preserve"> and project management</w:t>
      </w:r>
      <w:r w:rsidR="00733460">
        <w:t>; or</w:t>
      </w:r>
    </w:p>
    <w:p w:rsidR="006D1222" w:rsidRDefault="006D1222" w:rsidP="00733460">
      <w:pPr>
        <w:pStyle w:val="ListParagraph"/>
        <w:numPr>
          <w:ilvl w:val="0"/>
          <w:numId w:val="2"/>
        </w:numPr>
      </w:pPr>
      <w:r>
        <w:t xml:space="preserve">Other demonstrably unique elements. </w:t>
      </w:r>
    </w:p>
    <w:p w:rsidR="00C6395F" w:rsidRDefault="00C6395F" w:rsidP="00C6395F">
      <w:pPr>
        <w:jc w:val="both"/>
      </w:pPr>
      <w:r>
        <w:t>If an Unsolicited Proposal does not offer unique elements which justify negotiations on a sole-sourced basis, then the proposed project will be subjected to competitive processes, in which the Proponent will be eligible to participate.</w:t>
      </w:r>
    </w:p>
    <w:p w:rsidR="006D1222" w:rsidRPr="00A14708" w:rsidRDefault="009862B3" w:rsidP="006D1222">
      <w:pPr>
        <w:rPr>
          <w:rStyle w:val="Heading1Char"/>
        </w:rPr>
      </w:pPr>
      <w:bookmarkStart w:id="3" w:name="_Toc361742267"/>
      <w:r w:rsidRPr="00A14708">
        <w:rPr>
          <w:rStyle w:val="Heading1Char"/>
        </w:rPr>
        <w:t>3</w:t>
      </w:r>
      <w:r w:rsidR="003714F0" w:rsidRPr="00A14708">
        <w:rPr>
          <w:rStyle w:val="Heading1Char"/>
        </w:rPr>
        <w:tab/>
      </w:r>
      <w:r w:rsidR="006D1222" w:rsidRPr="00A14708">
        <w:rPr>
          <w:rStyle w:val="Heading1Char"/>
        </w:rPr>
        <w:t>GUIDING PRINCIPLES</w:t>
      </w:r>
      <w:bookmarkEnd w:id="3"/>
      <w:r w:rsidR="006D1222" w:rsidRPr="00A14708">
        <w:rPr>
          <w:rStyle w:val="Heading1Char"/>
        </w:rPr>
        <w:t xml:space="preserve"> </w:t>
      </w:r>
    </w:p>
    <w:p w:rsidR="006D1222" w:rsidRPr="003714F0" w:rsidRDefault="009862B3" w:rsidP="006D1222">
      <w:pPr>
        <w:rPr>
          <w:b/>
        </w:rPr>
      </w:pPr>
      <w:bookmarkStart w:id="4" w:name="_Toc361742268"/>
      <w:r w:rsidRPr="00A14708">
        <w:rPr>
          <w:rStyle w:val="Heading2Char"/>
        </w:rPr>
        <w:t>3</w:t>
      </w:r>
      <w:r w:rsidR="003714F0" w:rsidRPr="00A14708">
        <w:rPr>
          <w:rStyle w:val="Heading2Char"/>
        </w:rPr>
        <w:t>.1</w:t>
      </w:r>
      <w:r w:rsidR="003714F0" w:rsidRPr="00A14708">
        <w:rPr>
          <w:rStyle w:val="Heading2Char"/>
        </w:rPr>
        <w:tab/>
        <w:t>Optimis</w:t>
      </w:r>
      <w:r w:rsidR="007409CD" w:rsidRPr="00A14708">
        <w:rPr>
          <w:rStyle w:val="Heading2Char"/>
        </w:rPr>
        <w:t xml:space="preserve">ation of </w:t>
      </w:r>
      <w:r w:rsidR="003714F0" w:rsidRPr="00A14708">
        <w:rPr>
          <w:rStyle w:val="Heading2Char"/>
        </w:rPr>
        <w:t>Outcomes</w:t>
      </w:r>
      <w:bookmarkEnd w:id="4"/>
    </w:p>
    <w:p w:rsidR="006D1222" w:rsidRDefault="006D1222" w:rsidP="003714F0">
      <w:pPr>
        <w:jc w:val="both"/>
      </w:pPr>
      <w:r>
        <w:t xml:space="preserve">By their nature, Unsolicited Proposals are unlikely to be the current focus of Government’s strategic planning. Proposals must therefore be considered in light of the wider benefits and strategic outcomes that may be derived.  In order </w:t>
      </w:r>
      <w:r w:rsidR="007409CD">
        <w:t xml:space="preserve">for the process </w:t>
      </w:r>
      <w:r>
        <w:t xml:space="preserve">to proceed however, proposals must be broadly consistent with </w:t>
      </w:r>
      <w:r w:rsidR="003714F0">
        <w:t>the Ministry’s</w:t>
      </w:r>
      <w:r>
        <w:t xml:space="preserve"> objectives and other strategic planning objectives such as those </w:t>
      </w:r>
      <w:r w:rsidR="003714F0">
        <w:t>in the National Development Plan or the National Transport Masterplan.</w:t>
      </w:r>
    </w:p>
    <w:p w:rsidR="006D1222" w:rsidRDefault="006D1222" w:rsidP="003714F0">
      <w:pPr>
        <w:jc w:val="both"/>
      </w:pPr>
      <w:r>
        <w:t xml:space="preserve">In order to demonstrate </w:t>
      </w:r>
      <w:r w:rsidR="00B32F22">
        <w:t>affordability and optimal Value for Money</w:t>
      </w:r>
      <w:r>
        <w:t>,</w:t>
      </w:r>
      <w:r w:rsidR="00B32F22">
        <w:t xml:space="preserve"> a feasibility study must be prepared</w:t>
      </w:r>
      <w:r w:rsidRPr="00B46983">
        <w:t>.</w:t>
      </w:r>
      <w:r>
        <w:t xml:space="preserve">  </w:t>
      </w:r>
      <w:r w:rsidR="003714F0">
        <w:t>The Ministry</w:t>
      </w:r>
      <w:r>
        <w:t xml:space="preserve"> will develop a Public Sector Comparator</w:t>
      </w:r>
      <w:r w:rsidR="00796BF2">
        <w:t xml:space="preserve"> </w:t>
      </w:r>
      <w:r>
        <w:t xml:space="preserve">against a Reference Project defined by </w:t>
      </w:r>
      <w:r w:rsidR="003714F0">
        <w:t>the Ministry</w:t>
      </w:r>
      <w:r>
        <w:t xml:space="preserve"> that will be used as a benchmark for assessing Value for Money. </w:t>
      </w:r>
      <w:r w:rsidR="003714F0">
        <w:t xml:space="preserve">  </w:t>
      </w:r>
      <w:r>
        <w:t xml:space="preserve">In order to guide the Proponent, </w:t>
      </w:r>
      <w:r w:rsidR="00A55007">
        <w:t xml:space="preserve">the Ministry of Finance, Planning and Economic Development </w:t>
      </w:r>
      <w:r>
        <w:t>will provide an early indication of an acceptable return on investment</w:t>
      </w:r>
      <w:r w:rsidR="00612CF8">
        <w:t xml:space="preserve"> </w:t>
      </w:r>
      <w:r>
        <w:t xml:space="preserve">and other requirements to be achieved by the Proponent in the delivery </w:t>
      </w:r>
      <w:r w:rsidR="007409CD">
        <w:t xml:space="preserve">or implementation </w:t>
      </w:r>
      <w:r>
        <w:t xml:space="preserve">of its proposal. </w:t>
      </w:r>
    </w:p>
    <w:p w:rsidR="006D1222" w:rsidRPr="003714F0" w:rsidRDefault="009862B3" w:rsidP="00A14708">
      <w:pPr>
        <w:pStyle w:val="Heading2"/>
      </w:pPr>
      <w:bookmarkStart w:id="5" w:name="_Toc361742269"/>
      <w:r>
        <w:lastRenderedPageBreak/>
        <w:t>3</w:t>
      </w:r>
      <w:r w:rsidR="003714F0" w:rsidRPr="003714F0">
        <w:t>.2</w:t>
      </w:r>
      <w:r w:rsidR="003714F0" w:rsidRPr="003714F0">
        <w:tab/>
        <w:t>Assessment Criteria</w:t>
      </w:r>
      <w:bookmarkEnd w:id="5"/>
      <w:r w:rsidR="006D1222" w:rsidRPr="003714F0">
        <w:t xml:space="preserve"> </w:t>
      </w:r>
    </w:p>
    <w:p w:rsidR="006D1222" w:rsidRDefault="006D1222" w:rsidP="006D1222">
      <w:r>
        <w:t xml:space="preserve">Proposals will be assessed against the following Assessment Criteria: </w:t>
      </w:r>
    </w:p>
    <w:p w:rsidR="002D1C3E" w:rsidRDefault="002D1C3E" w:rsidP="003714F0">
      <w:pPr>
        <w:pStyle w:val="ListParagraph"/>
        <w:numPr>
          <w:ilvl w:val="0"/>
          <w:numId w:val="5"/>
        </w:numPr>
      </w:pPr>
      <w:r>
        <w:t>Consistency with GoU strategic objectives</w:t>
      </w:r>
    </w:p>
    <w:p w:rsidR="006D1222" w:rsidRDefault="006D1222" w:rsidP="003714F0">
      <w:pPr>
        <w:pStyle w:val="ListParagraph"/>
        <w:numPr>
          <w:ilvl w:val="0"/>
          <w:numId w:val="5"/>
        </w:numPr>
      </w:pPr>
      <w:r>
        <w:t xml:space="preserve">Unique benefits </w:t>
      </w:r>
      <w:r w:rsidR="00B32F22">
        <w:t xml:space="preserve">and or methods </w:t>
      </w:r>
      <w:r>
        <w:t xml:space="preserve">of </w:t>
      </w:r>
      <w:r w:rsidR="00B32F22">
        <w:t xml:space="preserve">the </w:t>
      </w:r>
      <w:r>
        <w:t xml:space="preserve">proposal providing justification to directly negotiate </w:t>
      </w:r>
    </w:p>
    <w:p w:rsidR="006D1222" w:rsidRDefault="006D1222" w:rsidP="003714F0">
      <w:pPr>
        <w:pStyle w:val="ListParagraph"/>
        <w:numPr>
          <w:ilvl w:val="0"/>
          <w:numId w:val="5"/>
        </w:numPr>
      </w:pPr>
      <w:r>
        <w:t>Value to Government; encompassing economic ben</w:t>
      </w:r>
      <w:r w:rsidR="00F129BB">
        <w:t>efit, service delivery, whole-life-</w:t>
      </w:r>
      <w:r>
        <w:t xml:space="preserve">costs, risk transfer, timely achievement of objectives and qualitative outcomes </w:t>
      </w:r>
      <w:r w:rsidR="00AD7F9C">
        <w:t>which contribute to the achievement of strategic objectives</w:t>
      </w:r>
    </w:p>
    <w:p w:rsidR="00454F5E" w:rsidRDefault="00C17D12" w:rsidP="003714F0">
      <w:pPr>
        <w:pStyle w:val="ListParagraph"/>
        <w:numPr>
          <w:ilvl w:val="0"/>
          <w:numId w:val="5"/>
        </w:numPr>
      </w:pPr>
      <w:r>
        <w:t>I</w:t>
      </w:r>
      <w:r w:rsidR="006D1222">
        <w:t>mpact</w:t>
      </w:r>
      <w:r>
        <w:t xml:space="preserve"> on Government</w:t>
      </w:r>
      <w:r w:rsidR="006D1222">
        <w:t>, including opportunity cost</w:t>
      </w:r>
    </w:p>
    <w:p w:rsidR="006D1222" w:rsidRDefault="00454F5E" w:rsidP="003714F0">
      <w:pPr>
        <w:pStyle w:val="ListParagraph"/>
        <w:numPr>
          <w:ilvl w:val="0"/>
          <w:numId w:val="5"/>
        </w:numPr>
      </w:pPr>
      <w:r>
        <w:t>Appropriate risk allocation</w:t>
      </w:r>
      <w:r w:rsidR="006D1222">
        <w:t xml:space="preserve"> </w:t>
      </w:r>
    </w:p>
    <w:p w:rsidR="006D1222" w:rsidRDefault="006D1222" w:rsidP="003714F0">
      <w:pPr>
        <w:pStyle w:val="ListParagraph"/>
        <w:numPr>
          <w:ilvl w:val="0"/>
          <w:numId w:val="5"/>
        </w:numPr>
      </w:pPr>
      <w:r>
        <w:t xml:space="preserve">Appropriateness of return on investment obtained by the Proponent given project risks </w:t>
      </w:r>
    </w:p>
    <w:p w:rsidR="006D1222" w:rsidRDefault="006D1222" w:rsidP="003714F0">
      <w:pPr>
        <w:pStyle w:val="ListParagraph"/>
        <w:numPr>
          <w:ilvl w:val="0"/>
          <w:numId w:val="5"/>
        </w:numPr>
      </w:pPr>
      <w:r>
        <w:t xml:space="preserve">Capability and capacity of Proponent to deliver the proposal </w:t>
      </w:r>
    </w:p>
    <w:p w:rsidR="006D1222" w:rsidRDefault="006D1222" w:rsidP="00454F5E">
      <w:pPr>
        <w:pStyle w:val="ListParagraph"/>
        <w:numPr>
          <w:ilvl w:val="0"/>
          <w:numId w:val="5"/>
        </w:numPr>
      </w:pPr>
      <w:r>
        <w:t>Affordability</w:t>
      </w:r>
      <w:r w:rsidR="00454F5E">
        <w:t>.</w:t>
      </w:r>
      <w:r>
        <w:t xml:space="preserve"> </w:t>
      </w:r>
    </w:p>
    <w:p w:rsidR="006D1222" w:rsidRDefault="006D1222" w:rsidP="00F129BB">
      <w:pPr>
        <w:jc w:val="both"/>
      </w:pPr>
      <w:r>
        <w:t xml:space="preserve">Additional Assessment Criteria relevant to a particular proposal may also be applied.  If so, the Proponent will be informed of the </w:t>
      </w:r>
      <w:r w:rsidR="007409CD">
        <w:t xml:space="preserve">additional </w:t>
      </w:r>
      <w:r>
        <w:t xml:space="preserve">criteria in order for these to be addressed in its Detailed Proposal during Stage 2. </w:t>
      </w:r>
    </w:p>
    <w:p w:rsidR="003714F0" w:rsidRPr="009862B3" w:rsidRDefault="009862B3" w:rsidP="00A14708">
      <w:pPr>
        <w:pStyle w:val="Heading2"/>
      </w:pPr>
      <w:bookmarkStart w:id="6" w:name="_Toc361742270"/>
      <w:r w:rsidRPr="009862B3">
        <w:t>3</w:t>
      </w:r>
      <w:r w:rsidR="003714F0" w:rsidRPr="009862B3">
        <w:t>.3</w:t>
      </w:r>
      <w:r w:rsidR="003714F0" w:rsidRPr="009862B3">
        <w:tab/>
        <w:t>Probity</w:t>
      </w:r>
      <w:r w:rsidR="007409CD">
        <w:t xml:space="preserve"> / Integrity</w:t>
      </w:r>
      <w:bookmarkEnd w:id="6"/>
    </w:p>
    <w:p w:rsidR="006D1222" w:rsidRDefault="003A4DE1" w:rsidP="00F129BB">
      <w:pPr>
        <w:jc w:val="both"/>
      </w:pPr>
      <w:r>
        <w:t xml:space="preserve">The application of established probity principles aims to assure all parties of the integrity of the decision making processes.  </w:t>
      </w:r>
      <w:r w:rsidR="006D1222">
        <w:t xml:space="preserve">The assessment of Unsolicited Proposals will be conducted in line with the probity fundamentals outlined below: </w:t>
      </w:r>
    </w:p>
    <w:p w:rsidR="006D1222" w:rsidRDefault="006D1222" w:rsidP="00C6395F">
      <w:pPr>
        <w:pStyle w:val="ListParagraph"/>
        <w:numPr>
          <w:ilvl w:val="0"/>
          <w:numId w:val="22"/>
        </w:numPr>
      </w:pPr>
      <w:r>
        <w:t xml:space="preserve">Maintain impartiality </w:t>
      </w:r>
    </w:p>
    <w:p w:rsidR="006D1222" w:rsidRDefault="006D1222" w:rsidP="00C6395F">
      <w:pPr>
        <w:pStyle w:val="ListParagraph"/>
        <w:numPr>
          <w:ilvl w:val="0"/>
          <w:numId w:val="22"/>
        </w:numPr>
      </w:pPr>
      <w:r>
        <w:t>Maintaining a</w:t>
      </w:r>
      <w:r w:rsidR="00F129BB">
        <w:t>ccountability and transparency</w:t>
      </w:r>
      <w:r>
        <w:t xml:space="preserve"> </w:t>
      </w:r>
    </w:p>
    <w:p w:rsidR="006D1222" w:rsidRDefault="006D1222" w:rsidP="00C6395F">
      <w:pPr>
        <w:pStyle w:val="ListParagraph"/>
        <w:numPr>
          <w:ilvl w:val="0"/>
          <w:numId w:val="22"/>
        </w:numPr>
      </w:pPr>
      <w:r>
        <w:t xml:space="preserve">Managing conflicts of interest </w:t>
      </w:r>
    </w:p>
    <w:p w:rsidR="006D1222" w:rsidRDefault="006D1222" w:rsidP="00C6395F">
      <w:pPr>
        <w:pStyle w:val="ListParagraph"/>
        <w:numPr>
          <w:ilvl w:val="0"/>
          <w:numId w:val="22"/>
        </w:numPr>
      </w:pPr>
      <w:r>
        <w:t xml:space="preserve">Maintaining confidentiality </w:t>
      </w:r>
    </w:p>
    <w:p w:rsidR="006D1222" w:rsidRDefault="006D1222" w:rsidP="00C6395F">
      <w:pPr>
        <w:pStyle w:val="ListParagraph"/>
        <w:numPr>
          <w:ilvl w:val="0"/>
          <w:numId w:val="22"/>
        </w:numPr>
      </w:pPr>
      <w:r>
        <w:t>Obtaining value for money</w:t>
      </w:r>
      <w:r w:rsidR="00AD7F9C">
        <w:t>.</w:t>
      </w:r>
      <w:r>
        <w:t xml:space="preserve"> </w:t>
      </w:r>
    </w:p>
    <w:p w:rsidR="006D1222" w:rsidRPr="009862B3" w:rsidRDefault="009862B3" w:rsidP="00A14708">
      <w:pPr>
        <w:pStyle w:val="Heading2"/>
      </w:pPr>
      <w:bookmarkStart w:id="7" w:name="_Toc361742271"/>
      <w:r w:rsidRPr="009862B3">
        <w:t>3.4</w:t>
      </w:r>
      <w:r w:rsidRPr="009862B3">
        <w:tab/>
        <w:t>Resource Commitments</w:t>
      </w:r>
      <w:bookmarkEnd w:id="7"/>
    </w:p>
    <w:p w:rsidR="006D1222" w:rsidRDefault="006D1222" w:rsidP="00F129BB">
      <w:pPr>
        <w:jc w:val="both"/>
      </w:pPr>
      <w:r>
        <w:t xml:space="preserve">In order for an Unsolicited Proposal to progress, both </w:t>
      </w:r>
      <w:r w:rsidR="009862B3">
        <w:t>the Ministry</w:t>
      </w:r>
      <w:r>
        <w:t xml:space="preserve"> and the Proponent will be required to commit resources. The staged approach to assessment as detailed in </w:t>
      </w:r>
      <w:r w:rsidR="00F129BB">
        <w:t>section 4</w:t>
      </w:r>
      <w:r>
        <w:t xml:space="preserve"> of this Guide seeks to balance resource input at each stage in order to reduce the potential for unnecessary expenditure.  </w:t>
      </w:r>
    </w:p>
    <w:p w:rsidR="006D1222" w:rsidRDefault="006D1222" w:rsidP="00F129BB">
      <w:pPr>
        <w:jc w:val="both"/>
      </w:pPr>
      <w:r>
        <w:t xml:space="preserve">While this Guide seeks to minimise the costs for Proponents, Government will not normally reimburse costs associated with </w:t>
      </w:r>
      <w:r w:rsidR="00D379A9">
        <w:t xml:space="preserve">the Initial Submission of </w:t>
      </w:r>
      <w:r>
        <w:t>Unsolicited Proposals</w:t>
      </w:r>
      <w:r w:rsidR="00D379A9">
        <w:t xml:space="preserve">, but may consider making a contribution towards direct costs incurred in preparing Detailed Proposals if the Detailed Proposal does not result in a contract with the Proponent, but if the </w:t>
      </w:r>
      <w:r w:rsidR="00A95828">
        <w:t>concept is subsequently used by the Government.</w:t>
      </w:r>
      <w:r w:rsidR="00D379A9">
        <w:t xml:space="preserve"> </w:t>
      </w:r>
    </w:p>
    <w:p w:rsidR="006D1222" w:rsidRPr="009862B3" w:rsidRDefault="009862B3" w:rsidP="00A14708">
      <w:pPr>
        <w:pStyle w:val="Heading1"/>
      </w:pPr>
      <w:bookmarkStart w:id="8" w:name="_Toc361742272"/>
      <w:r w:rsidRPr="009862B3">
        <w:t>4</w:t>
      </w:r>
      <w:r w:rsidRPr="009862B3">
        <w:tab/>
      </w:r>
      <w:r w:rsidR="006D1222" w:rsidRPr="009862B3">
        <w:t>THE PROCESS</w:t>
      </w:r>
      <w:bookmarkEnd w:id="8"/>
      <w:r w:rsidR="006D1222" w:rsidRPr="009862B3">
        <w:t xml:space="preserve"> </w:t>
      </w:r>
    </w:p>
    <w:p w:rsidR="006D1222" w:rsidRPr="009862B3" w:rsidRDefault="001B6D9B" w:rsidP="00A14708">
      <w:pPr>
        <w:pStyle w:val="Heading2"/>
      </w:pPr>
      <w:bookmarkStart w:id="9" w:name="_Toc361742273"/>
      <w:r>
        <w:t>4</w:t>
      </w:r>
      <w:r w:rsidR="009862B3" w:rsidRPr="009862B3">
        <w:t>.1</w:t>
      </w:r>
      <w:r w:rsidR="009862B3" w:rsidRPr="009862B3">
        <w:tab/>
        <w:t>Introduction</w:t>
      </w:r>
      <w:bookmarkEnd w:id="9"/>
    </w:p>
    <w:p w:rsidR="006D1222" w:rsidRDefault="006D1222" w:rsidP="00F129BB">
      <w:pPr>
        <w:jc w:val="both"/>
      </w:pPr>
      <w:r>
        <w:t xml:space="preserve">This section outlines a three stage assessment process for the receipt and consideration of Unsolicited Proposals.  It is recognised that the nominated stages may be refined in order to most </w:t>
      </w:r>
      <w:r>
        <w:lastRenderedPageBreak/>
        <w:t>effectively manage the assessment of any particular proposal.</w:t>
      </w:r>
      <w:r w:rsidR="009862B3">
        <w:t xml:space="preserve"> </w:t>
      </w:r>
      <w:r>
        <w:t xml:space="preserve"> For example, each stage may include a number of milestones to be achieved in order to prevent unnecessary expenditure and to provide confidence for the Proponent to continue.  Any milestones or changes to the stages will be discussed and agreed with the Proponent. </w:t>
      </w:r>
    </w:p>
    <w:p w:rsidR="006D1222" w:rsidRPr="009862B3" w:rsidRDefault="001B6D9B" w:rsidP="00A14708">
      <w:pPr>
        <w:pStyle w:val="Heading2"/>
      </w:pPr>
      <w:bookmarkStart w:id="10" w:name="_Toc361742274"/>
      <w:r>
        <w:t>4</w:t>
      </w:r>
      <w:r w:rsidR="009862B3">
        <w:t>.2</w:t>
      </w:r>
      <w:r w:rsidR="009862B3">
        <w:tab/>
        <w:t>Stage</w:t>
      </w:r>
      <w:r w:rsidR="006D1222" w:rsidRPr="009862B3">
        <w:t xml:space="preserve"> 1 – </w:t>
      </w:r>
      <w:r w:rsidR="009862B3">
        <w:t>Initial Submission and Strategic Assessment</w:t>
      </w:r>
      <w:bookmarkEnd w:id="10"/>
    </w:p>
    <w:p w:rsidR="006D1222" w:rsidRDefault="009862B3" w:rsidP="00F129BB">
      <w:pPr>
        <w:jc w:val="both"/>
      </w:pPr>
      <w:r>
        <w:t>The objective of Stage 1 is f</w:t>
      </w:r>
      <w:r w:rsidR="006D1222">
        <w:t xml:space="preserve">or </w:t>
      </w:r>
      <w:r>
        <w:t>the Ministry</w:t>
      </w:r>
      <w:r w:rsidR="006D1222">
        <w:t xml:space="preserve"> to undertake a comprehensive initial assessment of the proposal to identify the potential benefit to Government of further consideration and development</w:t>
      </w:r>
      <w:r w:rsidR="000862BC">
        <w:t xml:space="preserve"> of the </w:t>
      </w:r>
      <w:r w:rsidR="008153B1">
        <w:t xml:space="preserve">ideas contained within the </w:t>
      </w:r>
      <w:r w:rsidR="000862BC">
        <w:t>USP</w:t>
      </w:r>
      <w:r w:rsidR="006D1222">
        <w:t xml:space="preserve">.   </w:t>
      </w:r>
    </w:p>
    <w:p w:rsidR="006D1222" w:rsidRDefault="006D1222" w:rsidP="006D1222">
      <w:r>
        <w:t>During Stage 1, the P</w:t>
      </w:r>
      <w:r w:rsidR="009862B3">
        <w:t>roponent is responsible for:</w:t>
      </w:r>
    </w:p>
    <w:p w:rsidR="00592417" w:rsidRDefault="006D1222">
      <w:pPr>
        <w:pStyle w:val="ListParagraph"/>
        <w:numPr>
          <w:ilvl w:val="0"/>
          <w:numId w:val="7"/>
        </w:numPr>
        <w:jc w:val="both"/>
      </w:pPr>
      <w:r>
        <w:t xml:space="preserve">Preparing an Initial Submission in accordance with the Schedule of Information </w:t>
      </w:r>
      <w:r w:rsidR="000F6798">
        <w:t xml:space="preserve">(see </w:t>
      </w:r>
      <w:r w:rsidR="000F6798" w:rsidRPr="00A56C9C">
        <w:rPr>
          <w:i/>
        </w:rPr>
        <w:t>Note</w:t>
      </w:r>
      <w:r w:rsidR="001D7A23" w:rsidRPr="00A56C9C">
        <w:rPr>
          <w:i/>
        </w:rPr>
        <w:t xml:space="preserve"> </w:t>
      </w:r>
      <w:r w:rsidR="00B46983">
        <w:rPr>
          <w:i/>
        </w:rPr>
        <w:t>4</w:t>
      </w:r>
      <w:r w:rsidR="000F6798">
        <w:t>)</w:t>
      </w:r>
    </w:p>
    <w:p w:rsidR="00592417" w:rsidRDefault="006D1222">
      <w:pPr>
        <w:pStyle w:val="ListParagraph"/>
        <w:numPr>
          <w:ilvl w:val="0"/>
          <w:numId w:val="7"/>
        </w:numPr>
        <w:jc w:val="both"/>
      </w:pPr>
      <w:r>
        <w:t xml:space="preserve">Forwarding the Initial Submission to the </w:t>
      </w:r>
      <w:r w:rsidR="009862B3">
        <w:t>Permanent Secretary, Ministry of Works and Transport</w:t>
      </w:r>
      <w:r>
        <w:t xml:space="preserve"> </w:t>
      </w:r>
    </w:p>
    <w:p w:rsidR="00592417" w:rsidRDefault="006D1222">
      <w:pPr>
        <w:pStyle w:val="ListParagraph"/>
        <w:numPr>
          <w:ilvl w:val="0"/>
          <w:numId w:val="7"/>
        </w:numPr>
        <w:jc w:val="both"/>
      </w:pPr>
      <w:r>
        <w:t xml:space="preserve">Responding to requests for further information.  The information to be provided will depend on the size and complexity of the proposed project. </w:t>
      </w:r>
    </w:p>
    <w:p w:rsidR="00592417" w:rsidRDefault="006D1222">
      <w:pPr>
        <w:jc w:val="both"/>
      </w:pPr>
      <w:r>
        <w:t xml:space="preserve">During Stage 1, </w:t>
      </w:r>
      <w:r w:rsidR="009862B3">
        <w:t>the Ministry</w:t>
      </w:r>
      <w:r>
        <w:t xml:space="preserve"> is responsible for: </w:t>
      </w:r>
    </w:p>
    <w:p w:rsidR="00592417" w:rsidRDefault="006D1222">
      <w:pPr>
        <w:pStyle w:val="ListParagraph"/>
        <w:numPr>
          <w:ilvl w:val="0"/>
          <w:numId w:val="9"/>
        </w:numPr>
        <w:jc w:val="both"/>
      </w:pPr>
      <w:r>
        <w:t xml:space="preserve">Promptly acknowledging receipt of the Initial Submission </w:t>
      </w:r>
    </w:p>
    <w:p w:rsidR="00592417" w:rsidRDefault="006D1222">
      <w:pPr>
        <w:pStyle w:val="ListParagraph"/>
        <w:numPr>
          <w:ilvl w:val="0"/>
          <w:numId w:val="9"/>
        </w:numPr>
        <w:jc w:val="both"/>
      </w:pPr>
      <w:r>
        <w:t xml:space="preserve">Undertaking an initial compliance check to ensure the required information has been provided </w:t>
      </w:r>
    </w:p>
    <w:p w:rsidR="00592417" w:rsidRDefault="006D1222">
      <w:pPr>
        <w:pStyle w:val="ListParagraph"/>
        <w:numPr>
          <w:ilvl w:val="0"/>
          <w:numId w:val="9"/>
        </w:numPr>
        <w:jc w:val="both"/>
      </w:pPr>
      <w:r>
        <w:t>Requesting further information from the Proponent if required.  This may involve</w:t>
      </w:r>
      <w:r w:rsidR="008153B1">
        <w:t xml:space="preserve"> c</w:t>
      </w:r>
      <w:r>
        <w:t xml:space="preserve">larification meetings with the Proponent in order to promote clarity of Government requirements </w:t>
      </w:r>
    </w:p>
    <w:p w:rsidR="00592417" w:rsidRDefault="009862B3">
      <w:pPr>
        <w:pStyle w:val="ListParagraph"/>
        <w:numPr>
          <w:ilvl w:val="0"/>
          <w:numId w:val="9"/>
        </w:numPr>
        <w:jc w:val="both"/>
      </w:pPr>
      <w:r>
        <w:t>Establishment of a Technical Assessment T</w:t>
      </w:r>
      <w:r w:rsidR="00A35837">
        <w:t>eam</w:t>
      </w:r>
      <w:r w:rsidR="006D1222">
        <w:t xml:space="preserve"> </w:t>
      </w:r>
    </w:p>
    <w:p w:rsidR="00592417" w:rsidRDefault="006D1222">
      <w:pPr>
        <w:pStyle w:val="ListParagraph"/>
        <w:numPr>
          <w:ilvl w:val="0"/>
          <w:numId w:val="9"/>
        </w:numPr>
        <w:jc w:val="both"/>
      </w:pPr>
      <w:r>
        <w:t>Undertaking a formal assessment and requesting additional information where necessary.   The assessment will be based on the potential for a subsequent Detailed Proposal to satisfactorily meet each of the Assessment Criteria if progressed to Stage 2</w:t>
      </w:r>
      <w:r w:rsidR="009A5C26">
        <w:t xml:space="preserve">. The </w:t>
      </w:r>
      <w:r w:rsidR="00796BF2">
        <w:t xml:space="preserve">areas </w:t>
      </w:r>
      <w:r w:rsidR="009A5C26">
        <w:t xml:space="preserve">to be </w:t>
      </w:r>
      <w:r w:rsidR="00796BF2">
        <w:t>examin</w:t>
      </w:r>
      <w:r w:rsidR="009A5C26">
        <w:t>ed in the Formal Assessment</w:t>
      </w:r>
      <w:r>
        <w:t xml:space="preserve"> </w:t>
      </w:r>
      <w:r w:rsidR="009A5C26">
        <w:t xml:space="preserve">are documented in </w:t>
      </w:r>
      <w:r w:rsidR="009A5C26" w:rsidRPr="00E929D2">
        <w:rPr>
          <w:i/>
        </w:rPr>
        <w:t xml:space="preserve">Note </w:t>
      </w:r>
      <w:r w:rsidR="00B46983">
        <w:rPr>
          <w:i/>
        </w:rPr>
        <w:t xml:space="preserve">5 </w:t>
      </w:r>
      <w:r w:rsidR="00012926">
        <w:rPr>
          <w:i/>
        </w:rPr>
        <w:t xml:space="preserve"> </w:t>
      </w:r>
      <w:r w:rsidR="00012926" w:rsidRPr="00012926">
        <w:t>and the results of the assessment should be summarised and documented using the form in Appendix 3</w:t>
      </w:r>
    </w:p>
    <w:p w:rsidR="00592417" w:rsidRDefault="00D35BD9">
      <w:pPr>
        <w:pStyle w:val="ListParagraph"/>
        <w:numPr>
          <w:ilvl w:val="0"/>
          <w:numId w:val="9"/>
        </w:numPr>
        <w:jc w:val="both"/>
      </w:pPr>
      <w:r>
        <w:t xml:space="preserve">Establishing whether the proposed project can be afforded and ensuring that the financial commitments implied are not unduly onerous on the public purse, through </w:t>
      </w:r>
      <w:r w:rsidR="00A57E67">
        <w:t xml:space="preserve">review and discussions </w:t>
      </w:r>
      <w:r>
        <w:t>with the Ministry of Finance, Planning and Economic Development</w:t>
      </w:r>
      <w:r w:rsidR="00A57E67">
        <w:t xml:space="preserve"> of the pre-feasibility report</w:t>
      </w:r>
    </w:p>
    <w:p w:rsidR="00592417" w:rsidRDefault="008153B1">
      <w:pPr>
        <w:pStyle w:val="ListParagraph"/>
        <w:numPr>
          <w:ilvl w:val="0"/>
          <w:numId w:val="9"/>
        </w:numPr>
        <w:jc w:val="both"/>
      </w:pPr>
      <w:r>
        <w:t>Assessing the unique elements of the proposal and determining if sufficient justification to negotiate on a sole-source basis exists</w:t>
      </w:r>
      <w:r w:rsidR="005F5ADE">
        <w:t>, or whether the project should be subject to competitive tendering</w:t>
      </w:r>
      <w:r>
        <w:t xml:space="preserve"> </w:t>
      </w:r>
    </w:p>
    <w:p w:rsidR="00592417" w:rsidRDefault="00C17D12">
      <w:pPr>
        <w:pStyle w:val="ListParagraph"/>
        <w:numPr>
          <w:ilvl w:val="0"/>
          <w:numId w:val="9"/>
        </w:numPr>
        <w:jc w:val="both"/>
      </w:pPr>
      <w:r>
        <w:t>Establishment of a Steering Committee</w:t>
      </w:r>
    </w:p>
    <w:p w:rsidR="00592417" w:rsidRDefault="006D1222">
      <w:pPr>
        <w:pStyle w:val="ListParagraph"/>
        <w:numPr>
          <w:ilvl w:val="0"/>
          <w:numId w:val="9"/>
        </w:numPr>
        <w:jc w:val="both"/>
      </w:pPr>
      <w:r>
        <w:t xml:space="preserve">Preparing an Assessment Report for review and approval by the Steering Committee </w:t>
      </w:r>
    </w:p>
    <w:p w:rsidR="00592417" w:rsidRDefault="00C17D12">
      <w:pPr>
        <w:pStyle w:val="ListParagraph"/>
        <w:numPr>
          <w:ilvl w:val="0"/>
          <w:numId w:val="9"/>
        </w:numPr>
        <w:jc w:val="both"/>
      </w:pPr>
      <w:r>
        <w:t>Preparing a</w:t>
      </w:r>
      <w:r w:rsidR="006D1222">
        <w:t xml:space="preserve"> draft Participation Agreement </w:t>
      </w:r>
      <w:r w:rsidR="003F7C8F">
        <w:t xml:space="preserve">(see </w:t>
      </w:r>
      <w:r w:rsidR="003F7C8F" w:rsidRPr="00F90FC0">
        <w:rPr>
          <w:i/>
        </w:rPr>
        <w:t>note</w:t>
      </w:r>
      <w:r w:rsidR="00B46983">
        <w:rPr>
          <w:i/>
        </w:rPr>
        <w:t xml:space="preserve"> 6</w:t>
      </w:r>
      <w:r w:rsidR="003F7C8F">
        <w:t xml:space="preserve">) </w:t>
      </w:r>
      <w:r w:rsidR="006D1222">
        <w:t xml:space="preserve">for </w:t>
      </w:r>
      <w:r w:rsidR="006A7896">
        <w:t xml:space="preserve">any </w:t>
      </w:r>
      <w:r w:rsidR="006D1222">
        <w:t xml:space="preserve">proposal deemed appropriate to progress to Stage 2 </w:t>
      </w:r>
    </w:p>
    <w:p w:rsidR="00592417" w:rsidRDefault="006D1222">
      <w:pPr>
        <w:pStyle w:val="ListParagraph"/>
        <w:numPr>
          <w:ilvl w:val="0"/>
          <w:numId w:val="9"/>
        </w:numPr>
        <w:jc w:val="both"/>
      </w:pPr>
      <w:r>
        <w:t xml:space="preserve">Notification of the initial assessment outcome to the Proponent </w:t>
      </w:r>
    </w:p>
    <w:p w:rsidR="00592417" w:rsidRDefault="00C17D12">
      <w:pPr>
        <w:pStyle w:val="ListParagraph"/>
        <w:numPr>
          <w:ilvl w:val="0"/>
          <w:numId w:val="9"/>
        </w:numPr>
        <w:jc w:val="both"/>
      </w:pPr>
      <w:r>
        <w:t>A</w:t>
      </w:r>
      <w:r w:rsidR="006D1222">
        <w:t xml:space="preserve">pproval to progress to Stage 2, if warranted. </w:t>
      </w:r>
    </w:p>
    <w:p w:rsidR="00592417" w:rsidRDefault="00C17D12">
      <w:pPr>
        <w:jc w:val="both"/>
      </w:pPr>
      <w:r>
        <w:lastRenderedPageBreak/>
        <w:t>During Stage 1, the Ministry may ask for clarification of any issues contained in the initial submission, and/or may ask for additional studies to be carried out.</w:t>
      </w:r>
    </w:p>
    <w:p w:rsidR="00592417" w:rsidRDefault="006D1222">
      <w:pPr>
        <w:jc w:val="both"/>
      </w:pPr>
      <w:r>
        <w:t xml:space="preserve">The following outcomes may result from this stage: </w:t>
      </w:r>
    </w:p>
    <w:p w:rsidR="00592417" w:rsidRDefault="006D1222">
      <w:pPr>
        <w:pStyle w:val="ListParagraph"/>
        <w:numPr>
          <w:ilvl w:val="0"/>
          <w:numId w:val="11"/>
        </w:numPr>
        <w:jc w:val="both"/>
      </w:pPr>
      <w:r>
        <w:t xml:space="preserve">The proposal is considered suitable for progression to Stage 2 </w:t>
      </w:r>
    </w:p>
    <w:p w:rsidR="00592417" w:rsidRDefault="006D1222">
      <w:pPr>
        <w:pStyle w:val="ListParagraph"/>
        <w:numPr>
          <w:ilvl w:val="0"/>
          <w:numId w:val="11"/>
        </w:numPr>
        <w:jc w:val="both"/>
      </w:pPr>
      <w:r>
        <w:t xml:space="preserve">The proposal, in concept form, is deemed of sufficient interest to Government to warrant further development and progression to a more defined project either with the original Proponent or, at </w:t>
      </w:r>
      <w:r w:rsidR="00D24FAC">
        <w:t xml:space="preserve">its </w:t>
      </w:r>
      <w:r>
        <w:t xml:space="preserve">behest other parties, with a view to bringing a project to market  </w:t>
      </w:r>
    </w:p>
    <w:p w:rsidR="00592417" w:rsidRDefault="006D1222">
      <w:pPr>
        <w:pStyle w:val="ListParagraph"/>
        <w:numPr>
          <w:ilvl w:val="0"/>
          <w:numId w:val="11"/>
        </w:numPr>
        <w:jc w:val="both"/>
      </w:pPr>
      <w:r>
        <w:t xml:space="preserve">The proposal is not sufficiently unique to justify </w:t>
      </w:r>
      <w:r w:rsidR="00796BF2">
        <w:t xml:space="preserve">sole-source </w:t>
      </w:r>
      <w:r>
        <w:t xml:space="preserve">negotiations with the Proponent.    In this case, the Steering Committee will agree a recommended course of action </w:t>
      </w:r>
    </w:p>
    <w:p w:rsidR="00592417" w:rsidRDefault="006D1222">
      <w:pPr>
        <w:pStyle w:val="ListParagraph"/>
        <w:numPr>
          <w:ilvl w:val="0"/>
          <w:numId w:val="11"/>
        </w:numPr>
        <w:tabs>
          <w:tab w:val="left" w:pos="7395"/>
        </w:tabs>
        <w:jc w:val="both"/>
      </w:pPr>
      <w:r>
        <w:t>The submission is considered suitable for referral to the relevant agency for further consideration if the project appears to have merit, requires a relatively low resource commitment by Government, is low risk, affects a single agency only and does not con</w:t>
      </w:r>
      <w:r w:rsidR="00C17D12">
        <w:t>flict with any</w:t>
      </w:r>
      <w:r>
        <w:t xml:space="preserve"> Government initiative </w:t>
      </w:r>
    </w:p>
    <w:p w:rsidR="00592417" w:rsidRDefault="006D1222">
      <w:pPr>
        <w:pStyle w:val="ListParagraph"/>
        <w:numPr>
          <w:ilvl w:val="0"/>
          <w:numId w:val="11"/>
        </w:numPr>
        <w:tabs>
          <w:tab w:val="left" w:pos="7395"/>
        </w:tabs>
        <w:jc w:val="both"/>
      </w:pPr>
      <w:r>
        <w:t xml:space="preserve">The Submission is not considered suitable for further consideration. </w:t>
      </w:r>
      <w:r w:rsidR="001D7A23">
        <w:t xml:space="preserve">See </w:t>
      </w:r>
      <w:r w:rsidR="001666EC" w:rsidRPr="00A57E67">
        <w:rPr>
          <w:i/>
        </w:rPr>
        <w:t>N</w:t>
      </w:r>
      <w:r w:rsidR="001D7A23" w:rsidRPr="00A57E67">
        <w:rPr>
          <w:i/>
        </w:rPr>
        <w:t>ote</w:t>
      </w:r>
      <w:r w:rsidR="001666EC" w:rsidRPr="00A57E67">
        <w:rPr>
          <w:i/>
        </w:rPr>
        <w:t xml:space="preserve"> </w:t>
      </w:r>
      <w:r w:rsidR="00B46983">
        <w:rPr>
          <w:i/>
        </w:rPr>
        <w:t>7</w:t>
      </w:r>
      <w:r w:rsidR="00A57E67" w:rsidRPr="00A57E67">
        <w:rPr>
          <w:i/>
        </w:rPr>
        <w:t xml:space="preserve"> </w:t>
      </w:r>
      <w:r w:rsidR="00A57E67">
        <w:t>for the action</w:t>
      </w:r>
      <w:r w:rsidR="00A57E67" w:rsidRPr="00A57E67">
        <w:t>s to be taken following such a decision</w:t>
      </w:r>
      <w:r w:rsidR="00A57E67">
        <w:t xml:space="preserve">, including providing a written feedback with reasons for a decision not to proceed with a proposal. </w:t>
      </w:r>
    </w:p>
    <w:p w:rsidR="00592417" w:rsidRDefault="006D1222">
      <w:pPr>
        <w:jc w:val="both"/>
      </w:pPr>
      <w:r>
        <w:t xml:space="preserve">Proponents with proposals considered suitable to proceed to Stage 2 or referral to an agency for further consideration will be provided with the following information: </w:t>
      </w:r>
    </w:p>
    <w:p w:rsidR="00592417" w:rsidRDefault="006D1222">
      <w:pPr>
        <w:pStyle w:val="ListParagraph"/>
        <w:numPr>
          <w:ilvl w:val="0"/>
          <w:numId w:val="12"/>
        </w:numPr>
        <w:jc w:val="both"/>
      </w:pPr>
      <w:r>
        <w:t xml:space="preserve">A summary of the assessment findings </w:t>
      </w:r>
    </w:p>
    <w:p w:rsidR="00592417" w:rsidRDefault="006D1222">
      <w:pPr>
        <w:pStyle w:val="ListParagraph"/>
        <w:numPr>
          <w:ilvl w:val="0"/>
          <w:numId w:val="12"/>
        </w:numPr>
        <w:jc w:val="both"/>
      </w:pPr>
      <w:r>
        <w:t xml:space="preserve">The proposed process </w:t>
      </w:r>
      <w:r w:rsidR="00A35837">
        <w:t xml:space="preserve">and timelines </w:t>
      </w:r>
      <w:r>
        <w:t xml:space="preserve">for the further development and consideration of a Detailed Proposal. This will include governance arrangements </w:t>
      </w:r>
    </w:p>
    <w:p w:rsidR="00592417" w:rsidRDefault="006D1222">
      <w:pPr>
        <w:pStyle w:val="ListParagraph"/>
        <w:numPr>
          <w:ilvl w:val="0"/>
          <w:numId w:val="12"/>
        </w:numPr>
        <w:jc w:val="both"/>
      </w:pPr>
      <w:r>
        <w:t xml:space="preserve">Guidance regarding; value, scope, appropriate target return on investment parameters, timing, risk and other limitations </w:t>
      </w:r>
      <w:r w:rsidR="00F90FC0">
        <w:t xml:space="preserve">which need to be reflected in </w:t>
      </w:r>
      <w:r>
        <w:t xml:space="preserve">the Detailed Proposal in order to avoid unnecessary costs for the Proponent </w:t>
      </w:r>
    </w:p>
    <w:p w:rsidR="00592417" w:rsidRDefault="006D1222">
      <w:pPr>
        <w:pStyle w:val="ListParagraph"/>
        <w:numPr>
          <w:ilvl w:val="0"/>
          <w:numId w:val="12"/>
        </w:numPr>
        <w:jc w:val="both"/>
      </w:pPr>
      <w:r>
        <w:t xml:space="preserve">A Draft Participation Agreement. </w:t>
      </w:r>
    </w:p>
    <w:p w:rsidR="00592417" w:rsidRDefault="001B6D9B">
      <w:pPr>
        <w:pStyle w:val="Heading2"/>
        <w:jc w:val="both"/>
      </w:pPr>
      <w:bookmarkStart w:id="11" w:name="_Toc361742275"/>
      <w:r w:rsidRPr="00F908B6">
        <w:t>4.3</w:t>
      </w:r>
      <w:r w:rsidRPr="00F908B6">
        <w:tab/>
      </w:r>
      <w:r w:rsidRPr="006A7896">
        <w:t>Stage</w:t>
      </w:r>
      <w:r w:rsidR="006D1222" w:rsidRPr="006A7896">
        <w:t xml:space="preserve"> 2</w:t>
      </w:r>
      <w:r w:rsidR="006D1222" w:rsidRPr="00F908B6">
        <w:t xml:space="preserve"> – </w:t>
      </w:r>
      <w:r w:rsidRPr="00F908B6">
        <w:t>Detailed Proposal</w:t>
      </w:r>
      <w:bookmarkEnd w:id="11"/>
    </w:p>
    <w:p w:rsidR="00592417" w:rsidRDefault="001B6D9B">
      <w:pPr>
        <w:jc w:val="both"/>
      </w:pPr>
      <w:r>
        <w:t>The o</w:t>
      </w:r>
      <w:r w:rsidR="006D1222">
        <w:t xml:space="preserve">bjective </w:t>
      </w:r>
      <w:r>
        <w:t>of this stage is f</w:t>
      </w:r>
      <w:r w:rsidR="006D1222">
        <w:t xml:space="preserve">or the </w:t>
      </w:r>
      <w:r w:rsidR="00EE1E9D">
        <w:t xml:space="preserve">Initial Submission to be developed into a </w:t>
      </w:r>
      <w:r w:rsidR="006D1222">
        <w:t>Detailed Proposal</w:t>
      </w:r>
      <w:r w:rsidR="00EE1E9D">
        <w:t xml:space="preserve"> by the Proponent, and for the MoWT to consider and evaluate the Detailed Proposal submitted</w:t>
      </w:r>
      <w:r w:rsidR="006D1222">
        <w:t xml:space="preserve">.  </w:t>
      </w:r>
    </w:p>
    <w:p w:rsidR="00592417" w:rsidRDefault="006D1222">
      <w:pPr>
        <w:jc w:val="both"/>
      </w:pPr>
      <w:r>
        <w:t xml:space="preserve">During Stage 2, the Proponent will: </w:t>
      </w:r>
    </w:p>
    <w:p w:rsidR="00592417" w:rsidRDefault="006D1222">
      <w:pPr>
        <w:pStyle w:val="ListParagraph"/>
        <w:numPr>
          <w:ilvl w:val="0"/>
          <w:numId w:val="13"/>
        </w:numPr>
        <w:jc w:val="both"/>
      </w:pPr>
      <w:r>
        <w:t>Enter</w:t>
      </w:r>
      <w:r w:rsidR="001B6D9B">
        <w:t xml:space="preserve"> into a Participation Agreement;</w:t>
      </w:r>
    </w:p>
    <w:p w:rsidR="00592417" w:rsidRDefault="006D1222">
      <w:pPr>
        <w:pStyle w:val="ListParagraph"/>
        <w:numPr>
          <w:ilvl w:val="0"/>
          <w:numId w:val="13"/>
        </w:numPr>
        <w:jc w:val="both"/>
      </w:pPr>
      <w:r>
        <w:t xml:space="preserve">Attend </w:t>
      </w:r>
      <w:r w:rsidR="001B6D9B">
        <w:t>m</w:t>
      </w:r>
      <w:r>
        <w:t>eeting</w:t>
      </w:r>
      <w:r w:rsidR="001B6D9B">
        <w:t>s as required;</w:t>
      </w:r>
      <w:r w:rsidR="00F90FC0">
        <w:t xml:space="preserve"> and</w:t>
      </w:r>
    </w:p>
    <w:p w:rsidR="00592417" w:rsidRDefault="006D1222">
      <w:pPr>
        <w:pStyle w:val="ListParagraph"/>
        <w:numPr>
          <w:ilvl w:val="0"/>
          <w:numId w:val="13"/>
        </w:numPr>
        <w:jc w:val="both"/>
      </w:pPr>
      <w:r>
        <w:t xml:space="preserve">Prepare and submit a Detailed Proposal in a form agreed with </w:t>
      </w:r>
      <w:r w:rsidR="001B6D9B">
        <w:t xml:space="preserve">the Ministry </w:t>
      </w:r>
      <w:r w:rsidR="0008764C">
        <w:t xml:space="preserve">and which </w:t>
      </w:r>
      <w:r>
        <w:t>addresses e</w:t>
      </w:r>
      <w:r w:rsidR="0008764C">
        <w:t>ach of the Assessment</w:t>
      </w:r>
      <w:r w:rsidR="00D24FAC">
        <w:t xml:space="preserve"> Criteria outlined in section </w:t>
      </w:r>
      <w:r w:rsidR="0008764C">
        <w:t xml:space="preserve">3.2 above ie </w:t>
      </w:r>
    </w:p>
    <w:p w:rsidR="00592417" w:rsidRDefault="00D24FAC">
      <w:pPr>
        <w:pStyle w:val="ListParagraph"/>
        <w:numPr>
          <w:ilvl w:val="1"/>
          <w:numId w:val="5"/>
        </w:numPr>
        <w:jc w:val="both"/>
      </w:pPr>
      <w:r>
        <w:t xml:space="preserve">Unique benefits of proposal </w:t>
      </w:r>
    </w:p>
    <w:p w:rsidR="00592417" w:rsidRDefault="00052174">
      <w:pPr>
        <w:pStyle w:val="ListParagraph"/>
        <w:numPr>
          <w:ilvl w:val="1"/>
          <w:numId w:val="5"/>
        </w:numPr>
        <w:jc w:val="both"/>
      </w:pPr>
      <w:r>
        <w:t>Value to Government</w:t>
      </w:r>
      <w:r w:rsidR="005B5A4A">
        <w:t xml:space="preserve">, including substantial </w:t>
      </w:r>
      <w:r w:rsidR="00531C16">
        <w:t xml:space="preserve">technical, operational and financial </w:t>
      </w:r>
      <w:r w:rsidR="005B5A4A">
        <w:t>risk transfer</w:t>
      </w:r>
    </w:p>
    <w:p w:rsidR="00592417" w:rsidRDefault="005B5A4A">
      <w:pPr>
        <w:pStyle w:val="ListParagraph"/>
        <w:numPr>
          <w:ilvl w:val="1"/>
          <w:numId w:val="5"/>
        </w:numPr>
        <w:jc w:val="both"/>
      </w:pPr>
      <w:r>
        <w:t>Value for money</w:t>
      </w:r>
    </w:p>
    <w:p w:rsidR="00592417" w:rsidRDefault="00D24FAC">
      <w:pPr>
        <w:pStyle w:val="ListParagraph"/>
        <w:numPr>
          <w:ilvl w:val="1"/>
          <w:numId w:val="5"/>
        </w:numPr>
        <w:jc w:val="both"/>
      </w:pPr>
      <w:r>
        <w:t xml:space="preserve">Impact on Government, including opportunity cost </w:t>
      </w:r>
    </w:p>
    <w:p w:rsidR="00592417" w:rsidRDefault="00D24FAC">
      <w:pPr>
        <w:pStyle w:val="ListParagraph"/>
        <w:numPr>
          <w:ilvl w:val="1"/>
          <w:numId w:val="5"/>
        </w:numPr>
        <w:jc w:val="both"/>
      </w:pPr>
      <w:r>
        <w:t xml:space="preserve">Appropriateness of return on investment given project risks </w:t>
      </w:r>
    </w:p>
    <w:p w:rsidR="00592417" w:rsidRDefault="00D24FAC">
      <w:pPr>
        <w:pStyle w:val="ListParagraph"/>
        <w:numPr>
          <w:ilvl w:val="1"/>
          <w:numId w:val="5"/>
        </w:numPr>
        <w:jc w:val="both"/>
      </w:pPr>
      <w:r>
        <w:lastRenderedPageBreak/>
        <w:t xml:space="preserve">Capability and capacity of Proponent to deliver the proposal </w:t>
      </w:r>
    </w:p>
    <w:p w:rsidR="00592417" w:rsidRDefault="00D24FAC">
      <w:pPr>
        <w:pStyle w:val="ListParagraph"/>
        <w:numPr>
          <w:ilvl w:val="1"/>
          <w:numId w:val="5"/>
        </w:numPr>
        <w:jc w:val="both"/>
      </w:pPr>
      <w:r>
        <w:t>Affordability</w:t>
      </w:r>
    </w:p>
    <w:p w:rsidR="00592417" w:rsidRDefault="005B5A4A">
      <w:pPr>
        <w:pStyle w:val="ListParagraph"/>
        <w:numPr>
          <w:ilvl w:val="1"/>
          <w:numId w:val="5"/>
        </w:numPr>
        <w:jc w:val="both"/>
      </w:pPr>
      <w:r>
        <w:t xml:space="preserve">Proposals for institutional arrangement eg share ownership, transfer thereof </w:t>
      </w:r>
    </w:p>
    <w:p w:rsidR="00592417" w:rsidRDefault="00A33469">
      <w:pPr>
        <w:pStyle w:val="ListParagraph"/>
        <w:numPr>
          <w:ilvl w:val="1"/>
          <w:numId w:val="5"/>
        </w:numPr>
        <w:jc w:val="both"/>
      </w:pPr>
      <w:r>
        <w:t>Initial comments on particular clauses which are requested to be included in the legal documentation  / contract</w:t>
      </w:r>
    </w:p>
    <w:p w:rsidR="00592417" w:rsidRDefault="005B5A4A">
      <w:pPr>
        <w:pStyle w:val="ListParagraph"/>
        <w:numPr>
          <w:ilvl w:val="1"/>
          <w:numId w:val="5"/>
        </w:numPr>
        <w:jc w:val="both"/>
      </w:pPr>
      <w:r>
        <w:t>Evidence of funding availability</w:t>
      </w:r>
      <w:r w:rsidR="00D24FAC">
        <w:t xml:space="preserve"> </w:t>
      </w:r>
    </w:p>
    <w:p w:rsidR="00592417" w:rsidRDefault="006D1222">
      <w:pPr>
        <w:jc w:val="both"/>
      </w:pPr>
      <w:r>
        <w:t xml:space="preserve">During Stage 2, the </w:t>
      </w:r>
      <w:r w:rsidR="00F908B6">
        <w:t>Ministry</w:t>
      </w:r>
      <w:r>
        <w:t xml:space="preserve"> will: </w:t>
      </w:r>
    </w:p>
    <w:p w:rsidR="00592417" w:rsidRDefault="006D1222">
      <w:pPr>
        <w:pStyle w:val="ListParagraph"/>
        <w:numPr>
          <w:ilvl w:val="0"/>
          <w:numId w:val="15"/>
        </w:numPr>
        <w:jc w:val="both"/>
      </w:pPr>
      <w:r>
        <w:t xml:space="preserve">Enter into a Participation Agreement </w:t>
      </w:r>
    </w:p>
    <w:p w:rsidR="00592417" w:rsidRDefault="006D1222">
      <w:pPr>
        <w:pStyle w:val="ListParagraph"/>
        <w:numPr>
          <w:ilvl w:val="0"/>
          <w:numId w:val="15"/>
        </w:numPr>
        <w:jc w:val="both"/>
      </w:pPr>
      <w:r>
        <w:t xml:space="preserve">Facilitate </w:t>
      </w:r>
      <w:r w:rsidR="001B6D9B">
        <w:t>such m</w:t>
      </w:r>
      <w:r>
        <w:t>eeting</w:t>
      </w:r>
      <w:r w:rsidR="001B6D9B">
        <w:t>s as are required</w:t>
      </w:r>
      <w:r>
        <w:t xml:space="preserve"> in order to: </w:t>
      </w:r>
    </w:p>
    <w:p w:rsidR="00592417" w:rsidRDefault="006D1222">
      <w:pPr>
        <w:pStyle w:val="ListParagraph"/>
        <w:numPr>
          <w:ilvl w:val="0"/>
          <w:numId w:val="14"/>
        </w:numPr>
        <w:ind w:left="1276" w:hanging="425"/>
        <w:jc w:val="both"/>
      </w:pPr>
      <w:r>
        <w:t xml:space="preserve">Provide feedback to the Proponent regarding risks and concerns with the Initial Submission </w:t>
      </w:r>
    </w:p>
    <w:p w:rsidR="00592417" w:rsidRDefault="006D1222">
      <w:pPr>
        <w:pStyle w:val="ListParagraph"/>
        <w:numPr>
          <w:ilvl w:val="0"/>
          <w:numId w:val="14"/>
        </w:numPr>
        <w:ind w:left="1276" w:hanging="425"/>
        <w:jc w:val="both"/>
      </w:pPr>
      <w:r>
        <w:t xml:space="preserve">Provide guidance to the Proponent regarding Government requirements </w:t>
      </w:r>
      <w:r w:rsidR="00A33469">
        <w:t xml:space="preserve">and concerning the acceptable technical, financial, commercial and legal terms  </w:t>
      </w:r>
    </w:p>
    <w:p w:rsidR="00592417" w:rsidRDefault="006D1222">
      <w:pPr>
        <w:pStyle w:val="ListParagraph"/>
        <w:numPr>
          <w:ilvl w:val="0"/>
          <w:numId w:val="14"/>
        </w:numPr>
        <w:ind w:left="1276" w:hanging="425"/>
        <w:jc w:val="both"/>
      </w:pPr>
      <w:r>
        <w:t xml:space="preserve">Advise of the relevant Assessment Criteria  </w:t>
      </w:r>
    </w:p>
    <w:p w:rsidR="00592417" w:rsidRDefault="006D1222">
      <w:pPr>
        <w:pStyle w:val="ListParagraph"/>
        <w:numPr>
          <w:ilvl w:val="0"/>
          <w:numId w:val="14"/>
        </w:numPr>
        <w:ind w:left="1276" w:hanging="425"/>
        <w:jc w:val="both"/>
      </w:pPr>
      <w:r>
        <w:t xml:space="preserve">Agree the format for the Detailed Proposal, including the information and level of detail required </w:t>
      </w:r>
    </w:p>
    <w:p w:rsidR="00592417" w:rsidRDefault="006D1222">
      <w:pPr>
        <w:pStyle w:val="ListParagraph"/>
        <w:numPr>
          <w:ilvl w:val="0"/>
          <w:numId w:val="15"/>
        </w:numPr>
        <w:jc w:val="both"/>
      </w:pPr>
      <w:r>
        <w:t xml:space="preserve">Commit appropriately experienced and qualified resources to participate in the Stage 2 process  </w:t>
      </w:r>
    </w:p>
    <w:p w:rsidR="00592417" w:rsidRDefault="006D1222">
      <w:pPr>
        <w:pStyle w:val="ListParagraph"/>
        <w:numPr>
          <w:ilvl w:val="0"/>
          <w:numId w:val="15"/>
        </w:numPr>
        <w:jc w:val="both"/>
      </w:pPr>
      <w:r>
        <w:t>Define a Reference Project which accurately reflects the scope of the proposal</w:t>
      </w:r>
      <w:r w:rsidR="003A4DE1">
        <w:t xml:space="preserve"> </w:t>
      </w:r>
    </w:p>
    <w:p w:rsidR="00592417" w:rsidRDefault="006D1222">
      <w:pPr>
        <w:pStyle w:val="ListParagraph"/>
        <w:numPr>
          <w:ilvl w:val="0"/>
          <w:numId w:val="15"/>
        </w:numPr>
        <w:jc w:val="both"/>
      </w:pPr>
      <w:r>
        <w:t>Investigate benchmarking and prepare the Public Sector Comparator</w:t>
      </w:r>
      <w:r w:rsidR="00874711">
        <w:t xml:space="preserve"> (See </w:t>
      </w:r>
      <w:r w:rsidR="00874711" w:rsidRPr="00A33469">
        <w:rPr>
          <w:i/>
        </w:rPr>
        <w:t>Note</w:t>
      </w:r>
      <w:r w:rsidR="00B46983">
        <w:rPr>
          <w:i/>
        </w:rPr>
        <w:t xml:space="preserve"> 8</w:t>
      </w:r>
      <w:r w:rsidR="00874711">
        <w:t>)</w:t>
      </w:r>
      <w:r>
        <w:t xml:space="preserve"> for the Reference Project </w:t>
      </w:r>
    </w:p>
    <w:p w:rsidR="00592417" w:rsidRDefault="006D1222">
      <w:pPr>
        <w:pStyle w:val="ListParagraph"/>
        <w:numPr>
          <w:ilvl w:val="0"/>
          <w:numId w:val="15"/>
        </w:numPr>
        <w:jc w:val="both"/>
      </w:pPr>
      <w:r>
        <w:t xml:space="preserve">Receive the Detailed Proposal </w:t>
      </w:r>
    </w:p>
    <w:p w:rsidR="00592417" w:rsidRDefault="006D1222">
      <w:pPr>
        <w:pStyle w:val="ListParagraph"/>
        <w:numPr>
          <w:ilvl w:val="0"/>
          <w:numId w:val="15"/>
        </w:numPr>
        <w:jc w:val="both"/>
      </w:pPr>
      <w:r>
        <w:t xml:space="preserve">Undertake assessment of the Detailed Proposal (by the </w:t>
      </w:r>
      <w:r w:rsidR="001B6D9B">
        <w:t xml:space="preserve">Technical </w:t>
      </w:r>
      <w:r>
        <w:t xml:space="preserve">Assessment </w:t>
      </w:r>
      <w:r w:rsidR="00A35837">
        <w:t>Team</w:t>
      </w:r>
      <w:r>
        <w:t xml:space="preserve">) against each of the Assessment Criteria </w:t>
      </w:r>
    </w:p>
    <w:p w:rsidR="00592417" w:rsidRDefault="00A35837">
      <w:pPr>
        <w:pStyle w:val="ListParagraph"/>
        <w:numPr>
          <w:ilvl w:val="0"/>
          <w:numId w:val="15"/>
        </w:numPr>
        <w:jc w:val="both"/>
      </w:pPr>
      <w:r>
        <w:t>Perform a detailed financial review of the Detailed Proposal</w:t>
      </w:r>
      <w:r w:rsidR="00467973">
        <w:t xml:space="preserve">, including consideration of VFM </w:t>
      </w:r>
      <w:r w:rsidR="00B46983">
        <w:t xml:space="preserve"> (See </w:t>
      </w:r>
      <w:r w:rsidR="00B46983" w:rsidRPr="00B46983">
        <w:rPr>
          <w:i/>
        </w:rPr>
        <w:t xml:space="preserve">Note </w:t>
      </w:r>
      <w:r w:rsidR="00015C60">
        <w:rPr>
          <w:i/>
        </w:rPr>
        <w:t xml:space="preserve"> </w:t>
      </w:r>
      <w:r w:rsidR="00B46983" w:rsidRPr="00B46983">
        <w:rPr>
          <w:i/>
        </w:rPr>
        <w:t>9</w:t>
      </w:r>
      <w:r w:rsidR="00B46983">
        <w:t xml:space="preserve">) </w:t>
      </w:r>
      <w:r w:rsidR="00467973">
        <w:t>and any financial commitments which may be required</w:t>
      </w:r>
    </w:p>
    <w:p w:rsidR="00592417" w:rsidRDefault="006D1222">
      <w:pPr>
        <w:pStyle w:val="ListParagraph"/>
        <w:numPr>
          <w:ilvl w:val="0"/>
          <w:numId w:val="15"/>
        </w:numPr>
        <w:jc w:val="both"/>
      </w:pPr>
      <w:r>
        <w:t xml:space="preserve">Request further information from the Proponent as required </w:t>
      </w:r>
    </w:p>
    <w:p w:rsidR="00592417" w:rsidRDefault="005F5ADE">
      <w:pPr>
        <w:pStyle w:val="ListParagraph"/>
        <w:numPr>
          <w:ilvl w:val="0"/>
          <w:numId w:val="15"/>
        </w:numPr>
        <w:jc w:val="both"/>
      </w:pPr>
      <w:r>
        <w:t>Consider whether the Proposal should still be considered as unique, or whether it should be subjected to competitive tendering</w:t>
      </w:r>
    </w:p>
    <w:p w:rsidR="00592417" w:rsidRDefault="006D1222">
      <w:pPr>
        <w:pStyle w:val="ListParagraph"/>
        <w:numPr>
          <w:ilvl w:val="0"/>
          <w:numId w:val="15"/>
        </w:numPr>
        <w:jc w:val="both"/>
      </w:pPr>
      <w:r>
        <w:t>Prepare an Assessment Report (</w:t>
      </w:r>
      <w:r w:rsidR="00B46983">
        <w:t xml:space="preserve">see </w:t>
      </w:r>
      <w:r w:rsidR="00B46983" w:rsidRPr="00B46983">
        <w:rPr>
          <w:i/>
        </w:rPr>
        <w:t>Note 10</w:t>
      </w:r>
      <w:r w:rsidR="00B46983">
        <w:t xml:space="preserve">) </w:t>
      </w:r>
      <w:r>
        <w:t xml:space="preserve">by the </w:t>
      </w:r>
      <w:r w:rsidR="001B6D9B">
        <w:t xml:space="preserve">Technical Assessment </w:t>
      </w:r>
      <w:r w:rsidR="00A35837">
        <w:t xml:space="preserve">Team </w:t>
      </w:r>
      <w:r>
        <w:t xml:space="preserve"> and make </w:t>
      </w:r>
      <w:r w:rsidR="001B6D9B">
        <w:t>r</w:t>
      </w:r>
      <w:r>
        <w:t xml:space="preserve">ecommendations to the Steering Committee </w:t>
      </w:r>
    </w:p>
    <w:p w:rsidR="00592417" w:rsidRDefault="006D1222">
      <w:pPr>
        <w:pStyle w:val="ListParagraph"/>
        <w:numPr>
          <w:ilvl w:val="0"/>
          <w:numId w:val="15"/>
        </w:numPr>
        <w:jc w:val="both"/>
      </w:pPr>
      <w:r>
        <w:t>Ma</w:t>
      </w:r>
      <w:r w:rsidR="001B6D9B">
        <w:t>ke recommendations to the Ministry’s Top Management Team</w:t>
      </w:r>
      <w:r>
        <w:t xml:space="preserve">. </w:t>
      </w:r>
    </w:p>
    <w:p w:rsidR="00592417" w:rsidRDefault="000C2740">
      <w:pPr>
        <w:jc w:val="both"/>
      </w:pPr>
      <w:r>
        <w:t xml:space="preserve">A Checklist to guide compliance with the provisions of the Stage 2 evaluation guidelines is given in </w:t>
      </w:r>
      <w:r w:rsidR="00B152A5" w:rsidRPr="00B152A5">
        <w:t>Appendix 4</w:t>
      </w:r>
      <w:r w:rsidRPr="00B152A5">
        <w:t>.</w:t>
      </w:r>
    </w:p>
    <w:p w:rsidR="00592417" w:rsidRDefault="006D1222">
      <w:pPr>
        <w:jc w:val="both"/>
      </w:pPr>
      <w:r>
        <w:t xml:space="preserve">The following outcomes may result from this stage: </w:t>
      </w:r>
    </w:p>
    <w:p w:rsidR="00592417" w:rsidRDefault="006D1222">
      <w:pPr>
        <w:pStyle w:val="ListParagraph"/>
        <w:numPr>
          <w:ilvl w:val="0"/>
          <w:numId w:val="16"/>
        </w:numPr>
        <w:jc w:val="both"/>
      </w:pPr>
      <w:r>
        <w:t>The Detailed Proposal is considered acc</w:t>
      </w:r>
      <w:r w:rsidR="001B6D9B">
        <w:t>eptable to progress to Stage 3; or</w:t>
      </w:r>
    </w:p>
    <w:p w:rsidR="00592417" w:rsidRDefault="006D1222">
      <w:pPr>
        <w:pStyle w:val="ListParagraph"/>
        <w:numPr>
          <w:ilvl w:val="0"/>
          <w:numId w:val="16"/>
        </w:numPr>
        <w:jc w:val="both"/>
      </w:pPr>
      <w:r>
        <w:t xml:space="preserve">The Detailed Proposal </w:t>
      </w:r>
      <w:r w:rsidR="0008764C">
        <w:t xml:space="preserve">is </w:t>
      </w:r>
      <w:r>
        <w:t xml:space="preserve">not considered suitable for further consideration. </w:t>
      </w:r>
    </w:p>
    <w:p w:rsidR="00592417" w:rsidRDefault="006D1222">
      <w:pPr>
        <w:jc w:val="both"/>
      </w:pPr>
      <w:r>
        <w:t xml:space="preserve">Proponents progressing to Stage 3 will be provided with a schedule of items and issues to be negotiated. </w:t>
      </w:r>
    </w:p>
    <w:p w:rsidR="00592417" w:rsidRDefault="0008764C">
      <w:pPr>
        <w:jc w:val="both"/>
      </w:pPr>
      <w:r>
        <w:t>A w</w:t>
      </w:r>
      <w:r w:rsidR="006D1222">
        <w:t xml:space="preserve">ritten feedback providing reasons for a decision by </w:t>
      </w:r>
      <w:r w:rsidR="00F908B6">
        <w:t>the Ministry</w:t>
      </w:r>
      <w:r w:rsidR="006D1222">
        <w:t xml:space="preserve"> to not proceed will be provided. </w:t>
      </w:r>
    </w:p>
    <w:p w:rsidR="00592417" w:rsidRDefault="00F908B6">
      <w:pPr>
        <w:pStyle w:val="Heading2"/>
        <w:jc w:val="both"/>
      </w:pPr>
      <w:bookmarkStart w:id="12" w:name="_Toc361742276"/>
      <w:r w:rsidRPr="00F908B6">
        <w:lastRenderedPageBreak/>
        <w:t>4.4</w:t>
      </w:r>
      <w:r w:rsidRPr="00F908B6">
        <w:tab/>
        <w:t>Stage</w:t>
      </w:r>
      <w:r w:rsidR="006D1222" w:rsidRPr="00F908B6">
        <w:t xml:space="preserve"> 3 – </w:t>
      </w:r>
      <w:r w:rsidRPr="00F908B6">
        <w:t>Negotiation of Final Binding Offer</w:t>
      </w:r>
      <w:bookmarkEnd w:id="12"/>
      <w:r w:rsidR="006D1222" w:rsidRPr="00F908B6">
        <w:t xml:space="preserve"> </w:t>
      </w:r>
    </w:p>
    <w:p w:rsidR="00592417" w:rsidRDefault="00F908B6">
      <w:pPr>
        <w:jc w:val="both"/>
      </w:pPr>
      <w:r>
        <w:t>The o</w:t>
      </w:r>
      <w:r w:rsidR="006D1222">
        <w:t xml:space="preserve">bjective </w:t>
      </w:r>
      <w:r>
        <w:t>of this stage is t</w:t>
      </w:r>
      <w:r w:rsidR="006D1222">
        <w:t xml:space="preserve">o finalise all outstanding issues with a view to entering into a binding agreement. </w:t>
      </w:r>
    </w:p>
    <w:p w:rsidR="00592417" w:rsidRDefault="006D1222">
      <w:pPr>
        <w:jc w:val="both"/>
      </w:pPr>
      <w:r>
        <w:t xml:space="preserve">During Stage 3, the Proponent will: </w:t>
      </w:r>
    </w:p>
    <w:p w:rsidR="00592417" w:rsidRDefault="006D1222">
      <w:pPr>
        <w:pStyle w:val="ListParagraph"/>
        <w:numPr>
          <w:ilvl w:val="0"/>
          <w:numId w:val="17"/>
        </w:numPr>
        <w:jc w:val="both"/>
      </w:pPr>
      <w:r>
        <w:t>Submit a Binding Offer; including appropriate legal and commercial terms</w:t>
      </w:r>
      <w:r w:rsidR="00A33469">
        <w:t>, and</w:t>
      </w:r>
      <w:r w:rsidR="00A33469" w:rsidRPr="00A33469">
        <w:t xml:space="preserve"> </w:t>
      </w:r>
    </w:p>
    <w:p w:rsidR="00592417" w:rsidRDefault="00A33469">
      <w:pPr>
        <w:pStyle w:val="ListParagraph"/>
        <w:numPr>
          <w:ilvl w:val="0"/>
          <w:numId w:val="17"/>
        </w:numPr>
        <w:jc w:val="both"/>
      </w:pPr>
      <w:r>
        <w:t>Participate in the negotiation process</w:t>
      </w:r>
    </w:p>
    <w:p w:rsidR="00592417" w:rsidRDefault="006D1222">
      <w:pPr>
        <w:jc w:val="both"/>
      </w:pPr>
      <w:r>
        <w:t xml:space="preserve">During Stage 3, </w:t>
      </w:r>
      <w:r w:rsidR="00F908B6">
        <w:t>the Ministry of Works and Transport</w:t>
      </w:r>
      <w:r>
        <w:t xml:space="preserve"> will: </w:t>
      </w:r>
    </w:p>
    <w:p w:rsidR="00592417" w:rsidRDefault="00A33469">
      <w:pPr>
        <w:pStyle w:val="ListParagraph"/>
        <w:numPr>
          <w:ilvl w:val="0"/>
          <w:numId w:val="18"/>
        </w:numPr>
        <w:jc w:val="both"/>
      </w:pPr>
      <w:r>
        <w:t>Undertake a comprehensive assessment of the Binding Offer;</w:t>
      </w:r>
    </w:p>
    <w:p w:rsidR="00592417" w:rsidRDefault="006D1222">
      <w:pPr>
        <w:pStyle w:val="ListParagraph"/>
        <w:numPr>
          <w:ilvl w:val="0"/>
          <w:numId w:val="18"/>
        </w:numPr>
        <w:jc w:val="both"/>
      </w:pPr>
      <w:r>
        <w:t>Prepar</w:t>
      </w:r>
      <w:r w:rsidR="00F908B6">
        <w:t>e a Negotiation Plan;</w:t>
      </w:r>
    </w:p>
    <w:p w:rsidR="00592417" w:rsidRDefault="006D1222">
      <w:pPr>
        <w:pStyle w:val="ListParagraph"/>
        <w:numPr>
          <w:ilvl w:val="0"/>
          <w:numId w:val="18"/>
        </w:numPr>
        <w:jc w:val="both"/>
      </w:pPr>
      <w:r>
        <w:t>Inform the Proponent of the process and protocols for negotiation</w:t>
      </w:r>
      <w:r w:rsidR="00F908B6">
        <w:t>;</w:t>
      </w:r>
    </w:p>
    <w:p w:rsidR="00592417" w:rsidRDefault="006D1222">
      <w:pPr>
        <w:pStyle w:val="ListParagraph"/>
        <w:numPr>
          <w:ilvl w:val="0"/>
          <w:numId w:val="18"/>
        </w:numPr>
        <w:jc w:val="both"/>
      </w:pPr>
      <w:r>
        <w:t>Provide the Proponent with a sc</w:t>
      </w:r>
      <w:r w:rsidR="00F908B6">
        <w:t>hedule of items for negotiation;</w:t>
      </w:r>
    </w:p>
    <w:p w:rsidR="00592417" w:rsidRDefault="006D1222">
      <w:pPr>
        <w:pStyle w:val="ListParagraph"/>
        <w:numPr>
          <w:ilvl w:val="0"/>
          <w:numId w:val="18"/>
        </w:numPr>
        <w:jc w:val="both"/>
      </w:pPr>
      <w:r>
        <w:t>Commit appropriately qualified resources to complete negotiations; including legal, financial and tec</w:t>
      </w:r>
      <w:r w:rsidR="00F908B6">
        <w:t>hnical advice where appropriate;</w:t>
      </w:r>
    </w:p>
    <w:p w:rsidR="00592417" w:rsidRDefault="006D1222">
      <w:pPr>
        <w:pStyle w:val="ListParagraph"/>
        <w:numPr>
          <w:ilvl w:val="0"/>
          <w:numId w:val="18"/>
        </w:numPr>
        <w:jc w:val="both"/>
      </w:pPr>
      <w:r>
        <w:t xml:space="preserve">Define the appropriate Contract Management arrangements to monitor and ensure </w:t>
      </w:r>
      <w:r w:rsidR="0008764C">
        <w:t xml:space="preserve">the project </w:t>
      </w:r>
      <w:r>
        <w:t xml:space="preserve">outcomes are delivered </w:t>
      </w:r>
      <w:r w:rsidR="0008764C">
        <w:t>as contracted</w:t>
      </w:r>
      <w:r w:rsidR="00F908B6">
        <w:t>; and</w:t>
      </w:r>
    </w:p>
    <w:p w:rsidR="00592417" w:rsidRDefault="00F908B6">
      <w:pPr>
        <w:pStyle w:val="ListParagraph"/>
        <w:numPr>
          <w:ilvl w:val="0"/>
          <w:numId w:val="18"/>
        </w:numPr>
        <w:jc w:val="both"/>
      </w:pPr>
      <w:r>
        <w:t>Prepare a Cabinet Memorandum</w:t>
      </w:r>
      <w:r w:rsidR="006D1222">
        <w:t xml:space="preserve"> </w:t>
      </w:r>
    </w:p>
    <w:p w:rsidR="00592417" w:rsidRDefault="00F908B6">
      <w:pPr>
        <w:jc w:val="both"/>
      </w:pPr>
      <w:r>
        <w:t>Only one of the</w:t>
      </w:r>
      <w:r w:rsidR="006D1222">
        <w:t xml:space="preserve"> following </w:t>
      </w:r>
      <w:r>
        <w:t xml:space="preserve">two </w:t>
      </w:r>
      <w:r w:rsidR="006D1222">
        <w:t xml:space="preserve">outcomes may result from this stage: </w:t>
      </w:r>
    </w:p>
    <w:p w:rsidR="00592417" w:rsidRDefault="006D1222">
      <w:pPr>
        <w:pStyle w:val="ListParagraph"/>
        <w:numPr>
          <w:ilvl w:val="0"/>
          <w:numId w:val="19"/>
        </w:numPr>
        <w:jc w:val="both"/>
      </w:pPr>
      <w:r>
        <w:t>Recommendation to Government tha</w:t>
      </w:r>
      <w:r w:rsidR="00F908B6">
        <w:t>t the Binding Offer be accepted</w:t>
      </w:r>
      <w:r w:rsidR="00A33469">
        <w:t>,</w:t>
      </w:r>
      <w:r w:rsidR="00F908B6">
        <w:t xml:space="preserve"> or</w:t>
      </w:r>
    </w:p>
    <w:p w:rsidR="00592417" w:rsidRDefault="006D1222">
      <w:pPr>
        <w:pStyle w:val="ListParagraph"/>
        <w:numPr>
          <w:ilvl w:val="0"/>
          <w:numId w:val="19"/>
        </w:numPr>
        <w:jc w:val="both"/>
      </w:pPr>
      <w:r>
        <w:t xml:space="preserve">Recommendation to Government that the Binding Offer not be accepted. </w:t>
      </w:r>
    </w:p>
    <w:p w:rsidR="00592417" w:rsidRDefault="0008764C">
      <w:pPr>
        <w:jc w:val="both"/>
      </w:pPr>
      <w:r>
        <w:t>A w</w:t>
      </w:r>
      <w:r w:rsidR="006D1222">
        <w:t>ritten feedback providing reasons for a decision to not proceed will be provided to the Proponent.</w:t>
      </w:r>
    </w:p>
    <w:p w:rsidR="00592417" w:rsidRDefault="00316AA1">
      <w:pPr>
        <w:pStyle w:val="Heading1"/>
        <w:jc w:val="both"/>
      </w:pPr>
      <w:bookmarkStart w:id="13" w:name="_Toc361742277"/>
      <w:r w:rsidRPr="00316AA1">
        <w:t>5</w:t>
      </w:r>
      <w:r w:rsidRPr="00316AA1">
        <w:tab/>
        <w:t>TRANSITIONAL ARRANGEMENTS</w:t>
      </w:r>
      <w:bookmarkEnd w:id="13"/>
      <w:r w:rsidRPr="00316AA1">
        <w:t xml:space="preserve"> </w:t>
      </w:r>
    </w:p>
    <w:p w:rsidR="00592417" w:rsidRDefault="00CF4AD9">
      <w:pPr>
        <w:jc w:val="both"/>
      </w:pPr>
      <w:r>
        <w:t>All U</w:t>
      </w:r>
      <w:r w:rsidR="00316AA1">
        <w:t xml:space="preserve">nsolicited </w:t>
      </w:r>
      <w:r>
        <w:t>P</w:t>
      </w:r>
      <w:r w:rsidR="00316AA1">
        <w:t xml:space="preserve">roposals which have been submitted to the MoWT prior to publication of these Guidelines and not yet concluded must be considered under the MoWT’s current procurement system. </w:t>
      </w:r>
    </w:p>
    <w:p w:rsidR="00592417" w:rsidRDefault="00CF4AD9">
      <w:pPr>
        <w:jc w:val="both"/>
      </w:pPr>
      <w:r>
        <w:t>All Unsolicited P</w:t>
      </w:r>
      <w:r w:rsidR="00316AA1">
        <w:t xml:space="preserve">roposals submitted to the MoWT after publication of these Guidelines must be considered under these Guidelines, together with such provisions of the PPDA Act and PPP Bill (once </w:t>
      </w:r>
      <w:r w:rsidR="00F77EF0">
        <w:tab/>
      </w:r>
      <w:r w:rsidR="00316AA1">
        <w:t>enacted)</w:t>
      </w:r>
      <w:r>
        <w:t>.</w:t>
      </w:r>
    </w:p>
    <w:p w:rsidR="00592417" w:rsidRDefault="00316AA1">
      <w:pPr>
        <w:pStyle w:val="Heading1"/>
      </w:pPr>
      <w:r>
        <w:t xml:space="preserve"> </w:t>
      </w:r>
      <w:bookmarkStart w:id="14" w:name="_Toc361742278"/>
      <w:r w:rsidR="00015C60">
        <w:t>6</w:t>
      </w:r>
      <w:r w:rsidR="00015C60">
        <w:tab/>
      </w:r>
      <w:r w:rsidR="00015C60" w:rsidRPr="00015C60">
        <w:t>INSTITUTIONAL ARRANGEMENTS</w:t>
      </w:r>
      <w:bookmarkEnd w:id="14"/>
    </w:p>
    <w:p w:rsidR="00592417" w:rsidRDefault="00A03028">
      <w:pPr>
        <w:jc w:val="both"/>
      </w:pPr>
      <w:r>
        <w:t xml:space="preserve">These Guidelines are designed to be consistent with the provisions of the PPDA Act, and hence the requirements for approvals to be obtained at the appropriate time from other GoU bodies, eg the MoFPED, the Solicitor General, or the PPDA are unaffected. </w:t>
      </w:r>
      <w:r w:rsidR="00015C60">
        <w:t xml:space="preserve">Further, these Guidelines are intended to be used by MoWT staff in reacting and responding to a USP received in the normal course of their duties.  </w:t>
      </w:r>
      <w:r>
        <w:t xml:space="preserve">It is not anticipated that the volume of USPs will be sufficient to require staff to be dedicated solely to the receipt and processing of any USPs received.  </w:t>
      </w:r>
    </w:p>
    <w:p w:rsidR="00592417" w:rsidRDefault="00015C60">
      <w:pPr>
        <w:jc w:val="both"/>
      </w:pPr>
      <w:r>
        <w:lastRenderedPageBreak/>
        <w:t>MoWT staff should however be aware of the provisions contained within these Guidelines, and it is recommended that an appropriate briefing be provided to them.</w:t>
      </w:r>
    </w:p>
    <w:p w:rsidR="00592417" w:rsidRDefault="00015C60">
      <w:pPr>
        <w:jc w:val="both"/>
      </w:pPr>
      <w:r>
        <w:t>These Guidelines should be “owned” by the Policy and Planning department within the MoWT, and any changes which may be required should be coordinated through that office.</w:t>
      </w:r>
    </w:p>
    <w:p w:rsidR="00592417" w:rsidRDefault="00316AA1">
      <w:pPr>
        <w:jc w:val="both"/>
      </w:pPr>
      <w:r>
        <w:t xml:space="preserve">  </w:t>
      </w:r>
    </w:p>
    <w:p w:rsidR="00316AA1" w:rsidRDefault="00316AA1">
      <w:pPr>
        <w:rPr>
          <w:rFonts w:asciiTheme="majorHAnsi" w:eastAsiaTheme="majorEastAsia" w:hAnsiTheme="majorHAnsi" w:cstheme="majorBidi"/>
          <w:b/>
          <w:bCs/>
          <w:color w:val="365F91" w:themeColor="accent1" w:themeShade="BF"/>
          <w:sz w:val="28"/>
          <w:szCs w:val="28"/>
        </w:rPr>
      </w:pPr>
      <w:r>
        <w:br w:type="page"/>
      </w:r>
    </w:p>
    <w:p w:rsidR="006D1222" w:rsidRDefault="00712922" w:rsidP="004E795F">
      <w:pPr>
        <w:pStyle w:val="Heading1"/>
      </w:pPr>
      <w:bookmarkStart w:id="15" w:name="_Toc361742279"/>
      <w:r>
        <w:lastRenderedPageBreak/>
        <w:t>Appen</w:t>
      </w:r>
      <w:r w:rsidR="004E795F">
        <w:t>dix</w:t>
      </w:r>
      <w:r>
        <w:t xml:space="preserve"> 1</w:t>
      </w:r>
      <w:r w:rsidR="004E795F">
        <w:t>: Explanatory notes</w:t>
      </w:r>
      <w:bookmarkEnd w:id="15"/>
    </w:p>
    <w:p w:rsidR="00C84D0B" w:rsidRPr="00C84D0B" w:rsidRDefault="00C84D0B" w:rsidP="00C84D0B"/>
    <w:p w:rsidR="00592417" w:rsidRDefault="00F77EF0">
      <w:pPr>
        <w:pStyle w:val="ListParagraph"/>
        <w:numPr>
          <w:ilvl w:val="0"/>
          <w:numId w:val="20"/>
        </w:numPr>
        <w:jc w:val="both"/>
      </w:pPr>
      <w:bookmarkStart w:id="16" w:name="_Ref349729761"/>
      <w:r>
        <w:t xml:space="preserve">Public Private Partnerships are an alternative method of procuring </w:t>
      </w:r>
      <w:r w:rsidR="001E0F07">
        <w:t xml:space="preserve">public </w:t>
      </w:r>
      <w:r>
        <w:t>infrastructure and services, however not every project is suitable for a PPP structure</w:t>
      </w:r>
      <w:r w:rsidR="001E0F07">
        <w:t>:</w:t>
      </w:r>
      <w:r>
        <w:t xml:space="preserve"> for example in the UK it is estimated that only 15% of procurement is performed using a PPP.</w:t>
      </w:r>
    </w:p>
    <w:p w:rsidR="00592417" w:rsidRDefault="004E795F">
      <w:pPr>
        <w:ind w:left="360"/>
        <w:jc w:val="both"/>
      </w:pPr>
      <w:r>
        <w:t>P</w:t>
      </w:r>
      <w:r w:rsidR="00F77EF0">
        <w:t>PPs</w:t>
      </w:r>
      <w:r>
        <w:t xml:space="preserve"> can take many different forms</w:t>
      </w:r>
      <w:r w:rsidR="00D35BD9">
        <w:t xml:space="preserve"> </w:t>
      </w:r>
      <w:r w:rsidR="00D35BD9" w:rsidRPr="00D35BD9">
        <w:t>with a range of different characteristics</w:t>
      </w:r>
      <w:r w:rsidR="0032505B">
        <w:t>:</w:t>
      </w:r>
      <w:r w:rsidR="00D35BD9" w:rsidRPr="00D35BD9">
        <w:t xml:space="preserve"> combining private </w:t>
      </w:r>
      <w:r w:rsidR="00D35BD9">
        <w:t xml:space="preserve">sector </w:t>
      </w:r>
      <w:r w:rsidR="00D35BD9" w:rsidRPr="00D35BD9">
        <w:t>risk in various ways for designing, financing, building, operating, infrastructure and services, and for owning and transferring asset</w:t>
      </w:r>
      <w:r w:rsidR="00D35BD9">
        <w:t>s</w:t>
      </w:r>
      <w:r w:rsidR="0032505B">
        <w:t>.  These forms</w:t>
      </w:r>
      <w:r>
        <w:t xml:space="preserve"> can include</w:t>
      </w:r>
      <w:r w:rsidR="00F949A4">
        <w:t xml:space="preserve"> concessions;</w:t>
      </w:r>
      <w:r w:rsidR="00E81B9A">
        <w:t xml:space="preserve"> operation and maintenance; lease, develop and operate; build, own and maintain; </w:t>
      </w:r>
      <w:r w:rsidR="00F949A4">
        <w:t>design, build, finance, operate (</w:t>
      </w:r>
      <w:r>
        <w:t>DBFO</w:t>
      </w:r>
      <w:r w:rsidR="00F949A4">
        <w:t>);</w:t>
      </w:r>
      <w:r>
        <w:t xml:space="preserve"> </w:t>
      </w:r>
      <w:r w:rsidR="00F949A4">
        <w:t>build, own, operate, transfer (</w:t>
      </w:r>
      <w:r>
        <w:t>BOOT</w:t>
      </w:r>
      <w:r w:rsidR="00F949A4">
        <w:t>); build, own, operate (BOO);</w:t>
      </w:r>
      <w:r w:rsidR="005108AB">
        <w:t xml:space="preserve"> </w:t>
      </w:r>
      <w:r>
        <w:t>etc</w:t>
      </w:r>
      <w:bookmarkEnd w:id="16"/>
      <w:r w:rsidR="004E31E4">
        <w:t>. Payment involves one of three mechanisms:  the institution paying the private party for the delivery of the service, or the private party collecting fees or charges from users of the service, or a combination of these.</w:t>
      </w:r>
    </w:p>
    <w:p w:rsidR="00592417" w:rsidRDefault="004E31E4">
      <w:pPr>
        <w:ind w:left="360"/>
        <w:jc w:val="both"/>
      </w:pPr>
      <w:r>
        <w:t>A  PPP is not a simple outsourcing of functions where substantial financial, technical and operational risk is retained by the institution, nor is it a donation by a private party for a public good, nor the privatisation or divesture of state assets and/or liabilities or the ‘commercialisation’ of a public function by the creation of a state- owned enterprise</w:t>
      </w:r>
      <w:r w:rsidR="00F77EF0">
        <w:t>.</w:t>
      </w:r>
    </w:p>
    <w:p w:rsidR="00592417" w:rsidRDefault="00F77EF0">
      <w:pPr>
        <w:ind w:left="360"/>
        <w:jc w:val="both"/>
      </w:pPr>
      <w:r>
        <w:tab/>
      </w:r>
      <w:r w:rsidR="004E31E4">
        <w:t xml:space="preserve"> </w:t>
      </w:r>
    </w:p>
    <w:p w:rsidR="0029618F" w:rsidRDefault="0029618F" w:rsidP="0029618F">
      <w:pPr>
        <w:ind w:left="360"/>
      </w:pPr>
      <w:bookmarkStart w:id="17" w:name="_Ref350345169"/>
    </w:p>
    <w:p w:rsidR="00592417" w:rsidRDefault="005108AB">
      <w:pPr>
        <w:pStyle w:val="ListParagraph"/>
        <w:numPr>
          <w:ilvl w:val="0"/>
          <w:numId w:val="20"/>
        </w:numPr>
        <w:jc w:val="both"/>
      </w:pPr>
      <w:bookmarkStart w:id="18" w:name="_Ref351716582"/>
      <w:r>
        <w:t xml:space="preserve">Reward structures for </w:t>
      </w:r>
      <w:r w:rsidR="0032505B">
        <w:t xml:space="preserve">proponents who present </w:t>
      </w:r>
      <w:r>
        <w:t>US</w:t>
      </w:r>
      <w:r w:rsidR="00CF4AD9">
        <w:t>P</w:t>
      </w:r>
      <w:r>
        <w:t>s vary around the world, but generally fall into one of three mechanisms: Bonus, Swiss</w:t>
      </w:r>
      <w:r w:rsidR="007F53CF">
        <w:t xml:space="preserve"> challenge</w:t>
      </w:r>
      <w:r>
        <w:t>, or BAFO.</w:t>
      </w:r>
      <w:r w:rsidR="007E0B24">
        <w:t xml:space="preserve">  Under the </w:t>
      </w:r>
      <w:r w:rsidR="007E0B24" w:rsidRPr="007E0B24">
        <w:rPr>
          <w:u w:val="single"/>
        </w:rPr>
        <w:t>Bonus</w:t>
      </w:r>
      <w:r w:rsidR="007E0B24">
        <w:t xml:space="preserve"> system the </w:t>
      </w:r>
      <w:r w:rsidR="007E0B24" w:rsidRPr="007E0B24">
        <w:t>proponent receives a bonus in an otherwise fair and open bidding process— typically by adding a premium to the original proponent’s technical or financial offer when bids are evaluated</w:t>
      </w:r>
      <w:r w:rsidR="007E0B24">
        <w:t xml:space="preserve">. </w:t>
      </w:r>
      <w:r w:rsidR="00C84D0B">
        <w:t>The difficulty with this me</w:t>
      </w:r>
      <w:r w:rsidR="00B01515">
        <w:t xml:space="preserve">chanism lies in deciding what </w:t>
      </w:r>
      <w:r w:rsidR="0032505B">
        <w:t>and the size of an appropriate bonus</w:t>
      </w:r>
      <w:r w:rsidR="00C84D0B">
        <w:t xml:space="preserve">, thereby increasing the potential for ambiguity. </w:t>
      </w:r>
    </w:p>
    <w:p w:rsidR="00592417" w:rsidRDefault="007E0B24">
      <w:pPr>
        <w:ind w:left="720"/>
        <w:jc w:val="both"/>
      </w:pPr>
      <w:r>
        <w:t xml:space="preserve">In a </w:t>
      </w:r>
      <w:r w:rsidRPr="000A7566">
        <w:rPr>
          <w:u w:val="single"/>
        </w:rPr>
        <w:t>Swiss challenge</w:t>
      </w:r>
      <w:r>
        <w:t xml:space="preserve"> an open bidding process is conducted. If unsuccessful, the original proponent has the option to match the winning bid and win the contract.  The main advantage of the Swiss challenge is that it is relatively easy to define, both in general and for each project. The original proponent’s “advantage” is based solely on the project bidding criteria and the bar is set by the competitive process. Since no further definition or negotiation is needed—of bonuses, bidding costs or returns—it does not create additional work for the government project team, nor provide room for subjective decision-making.  </w:t>
      </w:r>
      <w:r w:rsidR="00B01515">
        <w:t>However this mechanism can inhibit competing bidders, who may be dis-encouraged by the possibility of their bid being matched by the original proponent</w:t>
      </w:r>
      <w:r w:rsidR="0032505B">
        <w:t xml:space="preserve"> and hence be unwilling to commit the resources necessary to develop a competing bid</w:t>
      </w:r>
      <w:r w:rsidR="00B01515">
        <w:t xml:space="preserve">.  </w:t>
      </w:r>
    </w:p>
    <w:p w:rsidR="00592417" w:rsidRDefault="000D6057">
      <w:pPr>
        <w:ind w:left="720"/>
        <w:jc w:val="both"/>
      </w:pPr>
      <w:r>
        <w:t xml:space="preserve">In the </w:t>
      </w:r>
      <w:r w:rsidRPr="000A7566">
        <w:rPr>
          <w:u w:val="single"/>
        </w:rPr>
        <w:t>Best and Final Offer</w:t>
      </w:r>
      <w:r>
        <w:t xml:space="preserve"> (BAFO)</w:t>
      </w:r>
      <w:r w:rsidRPr="000D6057">
        <w:t xml:space="preserve"> system the key element is multiple rounds of tendering, in which </w:t>
      </w:r>
      <w:r w:rsidR="005A1E45" w:rsidRPr="005A1E45">
        <w:t xml:space="preserve">the two most advantageous bids are selected in the first round, from which a final round of bidding will take place. If the original proponent is not one of these two selected, it will be </w:t>
      </w:r>
      <w:r w:rsidR="0032505B">
        <w:t>given a right (by virtue of being the project proponent)</w:t>
      </w:r>
      <w:r w:rsidR="005A1E45" w:rsidRPr="005A1E45">
        <w:t xml:space="preserve"> to compete in the final round.</w:t>
      </w:r>
      <w:bookmarkEnd w:id="17"/>
      <w:r w:rsidR="007F53CF">
        <w:t xml:space="preserve">  </w:t>
      </w:r>
      <w:r w:rsidR="00DA5126">
        <w:lastRenderedPageBreak/>
        <w:t xml:space="preserve">This method provides a </w:t>
      </w:r>
      <w:r w:rsidR="00B01515">
        <w:t>limited incentive to private sector proponents</w:t>
      </w:r>
      <w:r w:rsidR="00DA5126">
        <w:t xml:space="preserve"> without dis-encouraging competition.  It also minimises the p</w:t>
      </w:r>
      <w:r w:rsidR="00B01515">
        <w:t xml:space="preserve">otential </w:t>
      </w:r>
      <w:r w:rsidR="00DA5126">
        <w:t xml:space="preserve">risk </w:t>
      </w:r>
      <w:r w:rsidR="00B01515">
        <w:t>of over-loading the MoWT with unsolicited proposals</w:t>
      </w:r>
      <w:r w:rsidR="00DA5126">
        <w:t xml:space="preserve"> and of having to evaluate poor-quality projects</w:t>
      </w:r>
      <w:r w:rsidR="00B01515">
        <w:t xml:space="preserve">, </w:t>
      </w:r>
      <w:r w:rsidR="00DA5126">
        <w:t xml:space="preserve">and reduces the potential cost to </w:t>
      </w:r>
      <w:r w:rsidR="00B01515">
        <w:t xml:space="preserve">MoWT </w:t>
      </w:r>
      <w:r w:rsidR="00DA5126">
        <w:t xml:space="preserve">of </w:t>
      </w:r>
      <w:r w:rsidR="00B01515">
        <w:t>having to commit resources to evaluate</w:t>
      </w:r>
      <w:r w:rsidR="00DA5126">
        <w:t xml:space="preserve"> too many USPs</w:t>
      </w:r>
      <w:r w:rsidR="00B01515">
        <w:t>.</w:t>
      </w:r>
      <w:bookmarkEnd w:id="18"/>
    </w:p>
    <w:p w:rsidR="00B01515" w:rsidRDefault="00B01515" w:rsidP="00B01515">
      <w:pPr>
        <w:ind w:left="360"/>
      </w:pPr>
    </w:p>
    <w:p w:rsidR="00592417" w:rsidRDefault="00895013">
      <w:pPr>
        <w:pStyle w:val="ListParagraph"/>
        <w:numPr>
          <w:ilvl w:val="0"/>
          <w:numId w:val="20"/>
        </w:numPr>
        <w:jc w:val="both"/>
      </w:pPr>
      <w:r w:rsidRPr="00895013">
        <w:t>Reimbursing project development costs</w:t>
      </w:r>
      <w:r>
        <w:t>.</w:t>
      </w:r>
      <w:r w:rsidRPr="00895013">
        <w:t xml:space="preserve"> If unsuccessful in the bidding process, the original proponent might expect reimbursement of its development costs from the government, the winning bidder, or both. Proponents invest time and money in the projects and expect to be compensated for their efforts. However, determining the true value of the project concept and development is not easy, and there are several issues to consider when deciding the amount</w:t>
      </w:r>
      <w:r>
        <w:t>: costs may be exaggerated, resources have to be expended in evaluation of the costs, and it may encourage frivolous projects.  On the other hand it respect</w:t>
      </w:r>
      <w:r w:rsidR="00CF4AD9">
        <w:t>s</w:t>
      </w:r>
      <w:r>
        <w:t xml:space="preserve"> the legal Intellectual Property Rights</w:t>
      </w:r>
      <w:bookmarkStart w:id="19" w:name="_Ref349742137"/>
      <w:r w:rsidR="000862BC" w:rsidRPr="000862BC">
        <w:t xml:space="preserve"> </w:t>
      </w:r>
      <w:r w:rsidR="00CF4AD9">
        <w:t xml:space="preserve">of the Proponent. It is viewed that the </w:t>
      </w:r>
      <w:r w:rsidR="00B01515">
        <w:t xml:space="preserve">BAFO </w:t>
      </w:r>
      <w:r w:rsidR="00CF4AD9">
        <w:t>system provides an appropriate return for a Proponent to encourage them to submit USPs</w:t>
      </w:r>
      <w:r w:rsidR="00B01515">
        <w:t xml:space="preserve"> which progress to a competitive process. Should a direct procurement process result, the Proponent </w:t>
      </w:r>
      <w:r w:rsidR="0032505B">
        <w:t xml:space="preserve">will </w:t>
      </w:r>
      <w:r w:rsidR="00B01515">
        <w:t>receive recompense for the direct costs incurred in the development of its Detailed Proposal</w:t>
      </w:r>
      <w:r w:rsidR="00CF4AD9">
        <w:t xml:space="preserve"> </w:t>
      </w:r>
      <w:r w:rsidR="0032505B">
        <w:t>through the provision of the works /service.</w:t>
      </w:r>
      <w:r w:rsidR="00172136" w:rsidRPr="00172136">
        <w:t xml:space="preserve"> </w:t>
      </w:r>
    </w:p>
    <w:p w:rsidR="00F0175B" w:rsidRDefault="00F0175B" w:rsidP="00F0175B">
      <w:pPr>
        <w:pStyle w:val="ListParagraph"/>
      </w:pPr>
    </w:p>
    <w:p w:rsidR="00592417" w:rsidRDefault="0029618F">
      <w:pPr>
        <w:pStyle w:val="ListParagraph"/>
        <w:jc w:val="both"/>
      </w:pPr>
      <w:r>
        <w:t xml:space="preserve">Should a USP progress to Stage 2, but not conclude Stage 3, the Proponent </w:t>
      </w:r>
      <w:r w:rsidR="00BF7FEF">
        <w:t>may</w:t>
      </w:r>
      <w:r>
        <w:t xml:space="preserve"> be </w:t>
      </w:r>
      <w:r w:rsidR="00BF7FEF">
        <w:t xml:space="preserve">allowed </w:t>
      </w:r>
      <w:r>
        <w:t>to claim its direct costs</w:t>
      </w:r>
      <w:r w:rsidR="00BF7FEF">
        <w:t xml:space="preserve"> in accordance with the terms of the Participation Agreement.</w:t>
      </w:r>
      <w:r>
        <w:t xml:space="preserve"> </w:t>
      </w:r>
      <w:r w:rsidR="00172136">
        <w:t xml:space="preserve">In calculating costs eligible for reimbursement, the MoWT and the Proponent must restrict their consideration to direct costs incurred by the Proponent in developing technical and other materials relevant to responding to the requirement of the MoWT for the Detailed Proposal.   If the MoWT and the Proponent cannot reach consensus, then the MoWT will not be responsible for any costs which the proponent has incurred in preparing and submitting the Detailed Proposal, and the MoWT may not implement the project proposed in the unsolicited proposal for the current or next financial year and may not utilise at any time the proprietary information provided by the Proponent as part of its unsolicited proposal. </w:t>
      </w:r>
    </w:p>
    <w:p w:rsidR="00B01515" w:rsidRDefault="00B01515" w:rsidP="00B01515"/>
    <w:p w:rsidR="009C1F76" w:rsidRDefault="009C1F76" w:rsidP="009C1F76">
      <w:pPr>
        <w:pStyle w:val="ListParagraph"/>
        <w:numPr>
          <w:ilvl w:val="0"/>
          <w:numId w:val="20"/>
        </w:numPr>
      </w:pPr>
      <w:bookmarkStart w:id="20" w:name="_Ref350346197"/>
      <w:bookmarkEnd w:id="19"/>
      <w:r>
        <w:t>The Initial Submission should contain the following elements:</w:t>
      </w:r>
      <w:bookmarkEnd w:id="20"/>
      <w:r>
        <w:t xml:space="preserve"> </w:t>
      </w:r>
    </w:p>
    <w:p w:rsidR="00592417" w:rsidRDefault="009C1F76">
      <w:pPr>
        <w:pStyle w:val="ListParagraph"/>
        <w:numPr>
          <w:ilvl w:val="0"/>
          <w:numId w:val="24"/>
        </w:numPr>
        <w:jc w:val="both"/>
      </w:pPr>
      <w:r>
        <w:t xml:space="preserve">a concise title and </w:t>
      </w:r>
      <w:r w:rsidR="000F6798">
        <w:t xml:space="preserve">description </w:t>
      </w:r>
      <w:r>
        <w:t xml:space="preserve">(approximately 200 words) of the proposed </w:t>
      </w:r>
      <w:r w:rsidR="000F6798">
        <w:t>project</w:t>
      </w:r>
      <w:r w:rsidR="000862BC">
        <w:t xml:space="preserve">, including </w:t>
      </w:r>
      <w:r>
        <w:t xml:space="preserve">a statement of the objectives, approach and scope of the proposed </w:t>
      </w:r>
      <w:r w:rsidR="000F6798">
        <w:t>project</w:t>
      </w:r>
      <w:r>
        <w:t xml:space="preserve">; </w:t>
      </w:r>
    </w:p>
    <w:p w:rsidR="00592417" w:rsidRDefault="009C1F76">
      <w:pPr>
        <w:pStyle w:val="ListParagraph"/>
        <w:numPr>
          <w:ilvl w:val="0"/>
          <w:numId w:val="24"/>
        </w:numPr>
        <w:jc w:val="both"/>
      </w:pPr>
      <w:r>
        <w:t xml:space="preserve">a </w:t>
      </w:r>
      <w:r w:rsidR="000F6798">
        <w:t xml:space="preserve">description of </w:t>
      </w:r>
      <w:r>
        <w:t xml:space="preserve">how the </w:t>
      </w:r>
      <w:r w:rsidR="000F6798">
        <w:t xml:space="preserve">proposed project </w:t>
      </w:r>
      <w:r>
        <w:t xml:space="preserve">is demonstrably  innovative and supported by evidence </w:t>
      </w:r>
      <w:r w:rsidR="000F6798">
        <w:t>that the P</w:t>
      </w:r>
      <w:r>
        <w:t xml:space="preserve">roponent is the  sole provider of the innovation; </w:t>
      </w:r>
    </w:p>
    <w:p w:rsidR="00592417" w:rsidRDefault="000F6798">
      <w:pPr>
        <w:pStyle w:val="ListParagraph"/>
        <w:numPr>
          <w:ilvl w:val="0"/>
          <w:numId w:val="24"/>
        </w:numPr>
        <w:jc w:val="both"/>
      </w:pPr>
      <w:r>
        <w:t xml:space="preserve">an analysis </w:t>
      </w:r>
      <w:r w:rsidR="009C1F76">
        <w:t xml:space="preserve">of the anticipated benefits or cost advantages to the </w:t>
      </w:r>
      <w:r>
        <w:t xml:space="preserve">MoWT </w:t>
      </w:r>
      <w:r w:rsidR="009C1F76">
        <w:t>including the proposed price or total estimated cost for providing the service in sufficient detail to allow a meaningful evaluation by the</w:t>
      </w:r>
      <w:r>
        <w:t xml:space="preserve"> MoWT.  This should include a clear assessment of the economic benefits of the proposal in the form of a pre-feasibility study and hence a justification of the need for the project. Elements to be included include an estimated total project cost and financing plan, </w:t>
      </w:r>
      <w:r w:rsidR="000862BC">
        <w:t xml:space="preserve">and </w:t>
      </w:r>
      <w:r>
        <w:t>an income and expenditure plan for operations;</w:t>
      </w:r>
    </w:p>
    <w:p w:rsidR="00592417" w:rsidRDefault="000F6798">
      <w:pPr>
        <w:pStyle w:val="ListParagraph"/>
        <w:numPr>
          <w:ilvl w:val="0"/>
          <w:numId w:val="24"/>
        </w:numPr>
        <w:jc w:val="both"/>
      </w:pPr>
      <w:r>
        <w:lastRenderedPageBreak/>
        <w:t>an initial assessment and proposed allocation of key project risks</w:t>
      </w:r>
      <w:r w:rsidR="00172136">
        <w:t xml:space="preserve"> </w:t>
      </w:r>
    </w:p>
    <w:p w:rsidR="00592417" w:rsidRDefault="009C1F76">
      <w:pPr>
        <w:pStyle w:val="ListParagraph"/>
        <w:numPr>
          <w:ilvl w:val="0"/>
          <w:numId w:val="24"/>
        </w:numPr>
        <w:jc w:val="both"/>
      </w:pPr>
      <w:r>
        <w:t xml:space="preserve">a statement showing how the proposed project supports the </w:t>
      </w:r>
      <w:r w:rsidR="000F6798">
        <w:t xml:space="preserve">MoWT’s </w:t>
      </w:r>
      <w:r>
        <w:t xml:space="preserve">strategic growth and development plan and its other objectives; </w:t>
      </w:r>
    </w:p>
    <w:p w:rsidR="00592417" w:rsidRDefault="000F6798">
      <w:pPr>
        <w:pStyle w:val="ListParagraph"/>
        <w:numPr>
          <w:ilvl w:val="0"/>
          <w:numId w:val="24"/>
        </w:numPr>
        <w:jc w:val="both"/>
      </w:pPr>
      <w:r>
        <w:t>the applicant’s role in the proposed concessionaire company and its track record to demonstrate an ability to construct, and/or operate the project, and its financial standing</w:t>
      </w:r>
    </w:p>
    <w:p w:rsidR="00592417" w:rsidRDefault="000862BC">
      <w:pPr>
        <w:pStyle w:val="ListParagraph"/>
        <w:numPr>
          <w:ilvl w:val="0"/>
          <w:numId w:val="24"/>
        </w:numPr>
        <w:jc w:val="both"/>
      </w:pPr>
      <w:r>
        <w:t xml:space="preserve">an indication of what further environmental, technical, economic  or other social impact studies may be needed in Stage 2, </w:t>
      </w:r>
    </w:p>
    <w:p w:rsidR="00592417" w:rsidRDefault="000862BC">
      <w:pPr>
        <w:pStyle w:val="ListParagraph"/>
        <w:numPr>
          <w:ilvl w:val="0"/>
          <w:numId w:val="24"/>
        </w:numPr>
        <w:jc w:val="both"/>
      </w:pPr>
      <w:r>
        <w:t xml:space="preserve">the proposed form of support required </w:t>
      </w:r>
      <w:r>
        <w:tab/>
        <w:t xml:space="preserve">from the MoWT / GoU , </w:t>
      </w:r>
      <w:r w:rsidR="009C1F76">
        <w:t xml:space="preserve">and  </w:t>
      </w:r>
    </w:p>
    <w:p w:rsidR="00592417" w:rsidRDefault="009C1F76">
      <w:pPr>
        <w:pStyle w:val="ListParagraph"/>
        <w:numPr>
          <w:ilvl w:val="0"/>
          <w:numId w:val="24"/>
        </w:numPr>
        <w:jc w:val="both"/>
      </w:pPr>
      <w:r>
        <w:t xml:space="preserve">the period of time for which the proposal is valid for consideration, which may not be less than six months.  </w:t>
      </w:r>
    </w:p>
    <w:p w:rsidR="002A6AC4" w:rsidRDefault="002A6AC4" w:rsidP="002A6AC4">
      <w:pPr>
        <w:ind w:left="1080"/>
      </w:pPr>
    </w:p>
    <w:p w:rsidR="000862BC" w:rsidRDefault="000862BC" w:rsidP="000862BC">
      <w:pPr>
        <w:pStyle w:val="ListParagraph"/>
        <w:numPr>
          <w:ilvl w:val="0"/>
          <w:numId w:val="20"/>
        </w:numPr>
      </w:pPr>
      <w:bookmarkStart w:id="21" w:name="_Ref349740017"/>
      <w:r>
        <w:t>The formal assessment should include consideration of:</w:t>
      </w:r>
      <w:bookmarkEnd w:id="21"/>
    </w:p>
    <w:p w:rsidR="00592417" w:rsidRDefault="000862BC">
      <w:pPr>
        <w:pStyle w:val="ListParagraph"/>
        <w:numPr>
          <w:ilvl w:val="0"/>
          <w:numId w:val="26"/>
        </w:numPr>
        <w:jc w:val="both"/>
      </w:pPr>
      <w:r>
        <w:t>Assessment of economic, technical and financial viability</w:t>
      </w:r>
    </w:p>
    <w:p w:rsidR="00592417" w:rsidRDefault="000862BC">
      <w:pPr>
        <w:pStyle w:val="ListParagraph"/>
        <w:numPr>
          <w:ilvl w:val="0"/>
          <w:numId w:val="26"/>
        </w:numPr>
        <w:jc w:val="both"/>
      </w:pPr>
      <w:r>
        <w:t>Consistency of PPP structure and risk allocation in line with PPP policy</w:t>
      </w:r>
      <w:r w:rsidR="009712FC">
        <w:t>, where the fundamental principle is that risk allocated optimally – to whoever is best able to manage it</w:t>
      </w:r>
    </w:p>
    <w:p w:rsidR="00592417" w:rsidRDefault="000862BC">
      <w:pPr>
        <w:pStyle w:val="ListParagraph"/>
        <w:numPr>
          <w:ilvl w:val="0"/>
          <w:numId w:val="26"/>
        </w:numPr>
        <w:jc w:val="both"/>
      </w:pPr>
      <w:r>
        <w:t>Value for money of proposed solution</w:t>
      </w:r>
      <w:r>
        <w:tab/>
      </w:r>
    </w:p>
    <w:p w:rsidR="00592417" w:rsidRDefault="000862BC">
      <w:pPr>
        <w:pStyle w:val="ListParagraph"/>
        <w:numPr>
          <w:ilvl w:val="0"/>
          <w:numId w:val="26"/>
        </w:numPr>
        <w:jc w:val="both"/>
      </w:pPr>
      <w:r>
        <w:t>Work performed to date and completeness thereof</w:t>
      </w:r>
    </w:p>
    <w:p w:rsidR="00592417" w:rsidRDefault="000862BC">
      <w:pPr>
        <w:pStyle w:val="ListParagraph"/>
        <w:numPr>
          <w:ilvl w:val="0"/>
          <w:numId w:val="26"/>
        </w:numPr>
        <w:jc w:val="both"/>
      </w:pPr>
      <w:r>
        <w:t>Due diligence assessment of Proponent: experience, capacity, financial capability</w:t>
      </w:r>
      <w:r w:rsidR="00CE0F1A">
        <w:t>, and of the Project: existing assets, land ownership, rights and conditions, environmental scoping, and staff. It is also important to identify ground conditions on greenfield projects, and conditions of existing assets for brownfield projects</w:t>
      </w:r>
    </w:p>
    <w:p w:rsidR="00592417" w:rsidRDefault="00592417">
      <w:pPr>
        <w:pStyle w:val="ListParagraph"/>
        <w:ind w:left="1440"/>
      </w:pPr>
    </w:p>
    <w:p w:rsidR="00680EC3" w:rsidRDefault="00680EC3" w:rsidP="00680EC3">
      <w:pPr>
        <w:ind w:left="1080"/>
      </w:pPr>
    </w:p>
    <w:p w:rsidR="00172136" w:rsidRDefault="00172136" w:rsidP="00172136">
      <w:pPr>
        <w:pStyle w:val="ListParagraph"/>
        <w:numPr>
          <w:ilvl w:val="0"/>
          <w:numId w:val="20"/>
        </w:numPr>
      </w:pPr>
      <w:bookmarkStart w:id="22" w:name="_Ref350768393"/>
      <w:bookmarkStart w:id="23" w:name="_Ref350347826"/>
      <w:r>
        <w:t>The Participation Agreement should contain the following items:</w:t>
      </w:r>
      <w:bookmarkEnd w:id="22"/>
    </w:p>
    <w:p w:rsidR="00592417" w:rsidRDefault="00172136">
      <w:pPr>
        <w:pStyle w:val="ListParagraph"/>
        <w:numPr>
          <w:ilvl w:val="1"/>
          <w:numId w:val="20"/>
        </w:numPr>
        <w:jc w:val="both"/>
      </w:pPr>
      <w:r>
        <w:t>The Commitment</w:t>
      </w:r>
    </w:p>
    <w:p w:rsidR="00592417" w:rsidRDefault="00172136">
      <w:pPr>
        <w:pStyle w:val="ListParagraph"/>
        <w:numPr>
          <w:ilvl w:val="1"/>
          <w:numId w:val="20"/>
        </w:numPr>
        <w:jc w:val="both"/>
      </w:pPr>
      <w:r>
        <w:t>The nature and scope of the project which is being contemplated, and the respective roles of the parties to the Agreement</w:t>
      </w:r>
    </w:p>
    <w:p w:rsidR="00592417" w:rsidRDefault="00172136">
      <w:pPr>
        <w:pStyle w:val="ListParagraph"/>
        <w:numPr>
          <w:ilvl w:val="1"/>
          <w:numId w:val="20"/>
        </w:numPr>
        <w:jc w:val="both"/>
      </w:pPr>
      <w:r>
        <w:t>The timeframe for the Agreement, ie the commencement date, and termination date</w:t>
      </w:r>
      <w:r w:rsidR="005902B2">
        <w:t>, and the expected timeframes for preparation of the Detailed Proposal (eg 6 months)</w:t>
      </w:r>
    </w:p>
    <w:p w:rsidR="00592417" w:rsidRDefault="00172136">
      <w:pPr>
        <w:pStyle w:val="ListParagraph"/>
        <w:numPr>
          <w:ilvl w:val="1"/>
          <w:numId w:val="20"/>
        </w:numPr>
        <w:jc w:val="both"/>
      </w:pPr>
      <w:r>
        <w:t>The process whereby the Agreement can be terminated, if not for time</w:t>
      </w:r>
    </w:p>
    <w:p w:rsidR="00592417" w:rsidRDefault="00172136">
      <w:pPr>
        <w:pStyle w:val="ListParagraph"/>
        <w:numPr>
          <w:ilvl w:val="1"/>
          <w:numId w:val="20"/>
        </w:numPr>
        <w:jc w:val="both"/>
      </w:pPr>
      <w:r>
        <w:t>Agreement in respect of disclosure of information</w:t>
      </w:r>
    </w:p>
    <w:p w:rsidR="00592417" w:rsidRDefault="00172136">
      <w:pPr>
        <w:pStyle w:val="ListParagraph"/>
        <w:numPr>
          <w:ilvl w:val="1"/>
          <w:numId w:val="20"/>
        </w:numPr>
        <w:jc w:val="both"/>
      </w:pPr>
      <w:r>
        <w:t xml:space="preserve">Basis for reimbursement costs associated with development of Detailed Proposal </w:t>
      </w:r>
    </w:p>
    <w:p w:rsidR="00592417" w:rsidRDefault="00172136">
      <w:pPr>
        <w:pStyle w:val="ListParagraph"/>
        <w:numPr>
          <w:ilvl w:val="1"/>
          <w:numId w:val="20"/>
        </w:numPr>
        <w:jc w:val="both"/>
      </w:pPr>
      <w:r>
        <w:t>Any additional provisions needed</w:t>
      </w:r>
    </w:p>
    <w:p w:rsidR="00592417" w:rsidRDefault="00172136">
      <w:pPr>
        <w:pStyle w:val="ListParagraph"/>
        <w:numPr>
          <w:ilvl w:val="1"/>
          <w:numId w:val="20"/>
        </w:numPr>
        <w:jc w:val="both"/>
      </w:pPr>
      <w:r>
        <w:t>The signatures of those entering into the Agreement, on behalf of the Proponent, and the MoWT</w:t>
      </w:r>
    </w:p>
    <w:p w:rsidR="00172136" w:rsidRDefault="00172136" w:rsidP="00172136">
      <w:pPr>
        <w:ind w:left="1080"/>
      </w:pPr>
    </w:p>
    <w:p w:rsidR="001666EC" w:rsidRDefault="001D7A23" w:rsidP="001666EC">
      <w:pPr>
        <w:pStyle w:val="ListParagraph"/>
        <w:numPr>
          <w:ilvl w:val="0"/>
          <w:numId w:val="20"/>
        </w:numPr>
      </w:pPr>
      <w:r>
        <w:t xml:space="preserve">If the MoWT decides to reject the unsolicited proposal, it </w:t>
      </w:r>
      <w:r w:rsidR="001666EC">
        <w:t>must:</w:t>
      </w:r>
      <w:bookmarkEnd w:id="23"/>
      <w:r w:rsidR="001666EC">
        <w:t xml:space="preserve"> </w:t>
      </w:r>
    </w:p>
    <w:p w:rsidR="00592417" w:rsidRDefault="001D7A23">
      <w:pPr>
        <w:pStyle w:val="ListParagraph"/>
        <w:numPr>
          <w:ilvl w:val="0"/>
          <w:numId w:val="25"/>
        </w:numPr>
        <w:jc w:val="both"/>
      </w:pPr>
      <w:r>
        <w:t xml:space="preserve">notify the Proponent that the unsolicited proposal has been rejected; </w:t>
      </w:r>
    </w:p>
    <w:p w:rsidR="00592417" w:rsidRDefault="001D7A23">
      <w:pPr>
        <w:pStyle w:val="ListParagraph"/>
        <w:numPr>
          <w:ilvl w:val="0"/>
          <w:numId w:val="25"/>
        </w:numPr>
        <w:jc w:val="both"/>
      </w:pPr>
      <w:r>
        <w:lastRenderedPageBreak/>
        <w:t xml:space="preserve">ensure that the MoWT does not make use of any of the intellectual property or proprietary data in the unsolicited proposal; and  </w:t>
      </w:r>
    </w:p>
    <w:p w:rsidR="00592417" w:rsidRDefault="001D7A23">
      <w:pPr>
        <w:pStyle w:val="ListParagraph"/>
        <w:numPr>
          <w:ilvl w:val="0"/>
          <w:numId w:val="25"/>
        </w:numPr>
        <w:jc w:val="both"/>
      </w:pPr>
      <w:r>
        <w:t xml:space="preserve">return to the proponent all documents received in the unsolicited proposal including any copies of these documents. </w:t>
      </w:r>
    </w:p>
    <w:p w:rsidR="00680EC3" w:rsidRDefault="00680EC3" w:rsidP="00680EC3">
      <w:pPr>
        <w:ind w:left="1080"/>
      </w:pPr>
    </w:p>
    <w:p w:rsidR="00592417" w:rsidRDefault="00172136">
      <w:pPr>
        <w:pStyle w:val="ListParagraph"/>
        <w:numPr>
          <w:ilvl w:val="0"/>
          <w:numId w:val="20"/>
        </w:numPr>
        <w:jc w:val="both"/>
      </w:pPr>
      <w:r>
        <w:t>By its very definition, a Public Sector Comparator for a project which is unique (and hence eligible to be considered on a sole source basis as an Unsolicited Proposal) is unlikely to exist.  In which case the evaluation committee should attempt to break down the USP and obtain comparators for separate elements of the Proposal</w:t>
      </w:r>
    </w:p>
    <w:p w:rsidR="00592417" w:rsidRDefault="00592417">
      <w:pPr>
        <w:pStyle w:val="ListParagraph"/>
        <w:jc w:val="both"/>
      </w:pPr>
    </w:p>
    <w:p w:rsidR="00592417" w:rsidRDefault="00172136">
      <w:pPr>
        <w:pStyle w:val="ListParagraph"/>
        <w:numPr>
          <w:ilvl w:val="0"/>
          <w:numId w:val="20"/>
        </w:numPr>
        <w:jc w:val="both"/>
      </w:pPr>
      <w:r>
        <w:t>Value for Money</w:t>
      </w:r>
      <w:r w:rsidRPr="00D35BD9">
        <w:t xml:space="preserve"> means that the provision of the </w:t>
      </w:r>
      <w:r>
        <w:t>service and/or development of an asset b</w:t>
      </w:r>
      <w:r w:rsidRPr="00D35BD9">
        <w:t xml:space="preserve">y a private </w:t>
      </w:r>
      <w:r>
        <w:t xml:space="preserve">party </w:t>
      </w:r>
      <w:r w:rsidRPr="00D35BD9">
        <w:t>results in a net benefit to the institution defined in terms of cost, price, quality, quantity, risk transfer or a combination thereof</w:t>
      </w:r>
      <w:r>
        <w:t>. Best practice for evaluation of VFM in PPP bids is therefore generally accepted to contain a consideration of: optimum whole life cost, innovation, fit for purpose, comprehensive specification, compliance on time, and appropriate risk allocation.</w:t>
      </w:r>
    </w:p>
    <w:p w:rsidR="00680EC3" w:rsidRDefault="00680EC3" w:rsidP="00680EC3">
      <w:pPr>
        <w:ind w:left="360"/>
      </w:pPr>
    </w:p>
    <w:p w:rsidR="00805ED5" w:rsidRDefault="002E79E6" w:rsidP="002E79E6">
      <w:pPr>
        <w:pStyle w:val="ListParagraph"/>
        <w:numPr>
          <w:ilvl w:val="0"/>
          <w:numId w:val="20"/>
        </w:numPr>
      </w:pPr>
      <w:r>
        <w:t xml:space="preserve">The </w:t>
      </w:r>
      <w:r w:rsidR="00805ED5">
        <w:t xml:space="preserve">Assessment Report </w:t>
      </w:r>
      <w:r>
        <w:t>should contain the following elements</w:t>
      </w:r>
    </w:p>
    <w:p w:rsidR="00592417" w:rsidRDefault="005709F6">
      <w:pPr>
        <w:pStyle w:val="ListParagraph"/>
        <w:numPr>
          <w:ilvl w:val="1"/>
          <w:numId w:val="20"/>
        </w:numPr>
        <w:jc w:val="both"/>
      </w:pPr>
      <w:r>
        <w:t>Background: the</w:t>
      </w:r>
      <w:r w:rsidR="002E79E6">
        <w:t xml:space="preserve"> </w:t>
      </w:r>
      <w:r>
        <w:t>Scope of the proposed project and a description how it meets the MoWT / GoU’s</w:t>
      </w:r>
      <w:r w:rsidR="002E79E6">
        <w:t xml:space="preserve"> strategic objectives</w:t>
      </w:r>
      <w:r>
        <w:t>; the</w:t>
      </w:r>
      <w:r w:rsidR="002E79E6">
        <w:t xml:space="preserve"> Budget</w:t>
      </w:r>
      <w:r>
        <w:t>ary implications of the project; the</w:t>
      </w:r>
      <w:r w:rsidR="002E79E6">
        <w:t xml:space="preserve"> </w:t>
      </w:r>
      <w:r>
        <w:t xml:space="preserve"> Output specifications</w:t>
      </w:r>
      <w:r w:rsidR="00216487">
        <w:t>; justification for sole-sourced procurement</w:t>
      </w:r>
      <w:r>
        <w:t xml:space="preserve"> </w:t>
      </w:r>
      <w:r w:rsidR="002E79E6">
        <w:t xml:space="preserve"> </w:t>
      </w:r>
    </w:p>
    <w:p w:rsidR="00592417" w:rsidRDefault="002E79E6">
      <w:pPr>
        <w:pStyle w:val="ListParagraph"/>
        <w:numPr>
          <w:ilvl w:val="1"/>
          <w:numId w:val="20"/>
        </w:numPr>
        <w:jc w:val="both"/>
      </w:pPr>
      <w:r>
        <w:t>Solution options analysis</w:t>
      </w:r>
      <w:r w:rsidR="00216487">
        <w:t>:</w:t>
      </w:r>
      <w:r>
        <w:t xml:space="preserve"> Options considered</w:t>
      </w:r>
      <w:r w:rsidR="00216487">
        <w:t>;</w:t>
      </w:r>
      <w:r>
        <w:t xml:space="preserve"> Evaluation </w:t>
      </w:r>
      <w:r w:rsidR="00216487">
        <w:t xml:space="preserve">and assessment of each option; </w:t>
      </w:r>
      <w:r>
        <w:t>preferred option</w:t>
      </w:r>
    </w:p>
    <w:p w:rsidR="00592417" w:rsidRDefault="002E79E6">
      <w:pPr>
        <w:pStyle w:val="ListParagraph"/>
        <w:numPr>
          <w:ilvl w:val="1"/>
          <w:numId w:val="20"/>
        </w:numPr>
        <w:jc w:val="both"/>
      </w:pPr>
      <w:r>
        <w:t>Project due diligence</w:t>
      </w:r>
      <w:r w:rsidR="008441F2">
        <w:t xml:space="preserve">: </w:t>
      </w:r>
      <w:r>
        <w:t>Legal aspects – Use rights</w:t>
      </w:r>
      <w:r w:rsidR="008441F2">
        <w:t xml:space="preserve"> and</w:t>
      </w:r>
      <w:r>
        <w:t xml:space="preserve"> </w:t>
      </w:r>
      <w:r w:rsidR="00216487">
        <w:t xml:space="preserve">any </w:t>
      </w:r>
      <w:r>
        <w:t>Regulatory matters</w:t>
      </w:r>
      <w:r w:rsidR="008441F2">
        <w:t>;</w:t>
      </w:r>
      <w:r>
        <w:t xml:space="preserve"> Site enablement</w:t>
      </w:r>
      <w:r w:rsidR="008441F2">
        <w:t>;</w:t>
      </w:r>
      <w:r>
        <w:t xml:space="preserve">  Socio-economic </w:t>
      </w:r>
    </w:p>
    <w:p w:rsidR="00592417" w:rsidRDefault="002E79E6">
      <w:pPr>
        <w:pStyle w:val="ListParagraph"/>
        <w:numPr>
          <w:ilvl w:val="1"/>
          <w:numId w:val="20"/>
        </w:numPr>
        <w:jc w:val="both"/>
      </w:pPr>
      <w:r>
        <w:t>Value assessment</w:t>
      </w:r>
      <w:r w:rsidR="008441F2">
        <w:t xml:space="preserve">: Technical definition of project,  costs (direct and indirect) and assumptions, revenue (if relevant) and assumptions; </w:t>
      </w:r>
      <w:r>
        <w:t xml:space="preserve"> PSC model</w:t>
      </w:r>
      <w:r w:rsidR="008441F2">
        <w:t>,</w:t>
      </w:r>
      <w:r>
        <w:t xml:space="preserve"> costs (direct and indirect) and assumptions</w:t>
      </w:r>
      <w:r w:rsidR="008441F2">
        <w:t>,</w:t>
      </w:r>
      <w:r>
        <w:t xml:space="preserve"> revenue (if relevant) and assumptions</w:t>
      </w:r>
      <w:r w:rsidR="008441F2">
        <w:t xml:space="preserve">; </w:t>
      </w:r>
      <w:r>
        <w:t>Discussion on  model assumptions, including inflation rate, disc</w:t>
      </w:r>
      <w:r w:rsidR="008441F2">
        <w:t xml:space="preserve">ount rate, depreciation; </w:t>
      </w:r>
      <w:r>
        <w:t xml:space="preserve"> NPV</w:t>
      </w:r>
      <w:r w:rsidR="008441F2">
        <w:t xml:space="preserve">; </w:t>
      </w:r>
      <w:r>
        <w:t>proposed PPP type</w:t>
      </w:r>
      <w:r w:rsidR="008441F2">
        <w:t xml:space="preserve">, </w:t>
      </w:r>
      <w:r>
        <w:t>project structure and sources of funding</w:t>
      </w:r>
      <w:r w:rsidR="008441F2">
        <w:t xml:space="preserve">, Payment mechanism </w:t>
      </w:r>
    </w:p>
    <w:p w:rsidR="00592417" w:rsidRDefault="002E79E6">
      <w:pPr>
        <w:pStyle w:val="ListParagraph"/>
        <w:numPr>
          <w:ilvl w:val="1"/>
          <w:numId w:val="20"/>
        </w:numPr>
        <w:jc w:val="both"/>
      </w:pPr>
      <w:r>
        <w:t>Risk assessment</w:t>
      </w:r>
      <w:r w:rsidR="008441F2">
        <w:t>:</w:t>
      </w:r>
      <w:r>
        <w:t xml:space="preserve"> risk matrix</w:t>
      </w:r>
      <w:r w:rsidR="008441F2">
        <w:t>, including s</w:t>
      </w:r>
      <w:r>
        <w:t>ummary of the r</w:t>
      </w:r>
      <w:r w:rsidR="00AE6E44">
        <w:t>etained and transferable risks (</w:t>
      </w:r>
      <w:r>
        <w:t xml:space="preserve">NPV of all retained risks to be added </w:t>
      </w:r>
      <w:r w:rsidR="00216487">
        <w:t>into value assessment ;</w:t>
      </w:r>
      <w:r>
        <w:t xml:space="preserve"> </w:t>
      </w:r>
      <w:r w:rsidR="00216487">
        <w:t>s</w:t>
      </w:r>
      <w:r>
        <w:t>ensitivity analysis</w:t>
      </w:r>
      <w:r w:rsidR="00216487">
        <w:t>; s</w:t>
      </w:r>
      <w:r>
        <w:t>tatement of affordability</w:t>
      </w:r>
      <w:r w:rsidR="00216487">
        <w:t>; s</w:t>
      </w:r>
      <w:r>
        <w:t>tatement of value for money</w:t>
      </w:r>
    </w:p>
    <w:p w:rsidR="00592417" w:rsidRDefault="002E79E6">
      <w:pPr>
        <w:pStyle w:val="ListParagraph"/>
        <w:numPr>
          <w:ilvl w:val="1"/>
          <w:numId w:val="20"/>
        </w:numPr>
        <w:jc w:val="both"/>
      </w:pPr>
      <w:r>
        <w:t>Economic valuation</w:t>
      </w:r>
      <w:r w:rsidR="00216487">
        <w:t>:</w:t>
      </w:r>
      <w:r>
        <w:t xml:space="preserve"> </w:t>
      </w:r>
      <w:r w:rsidR="00216487">
        <w:t>a</w:t>
      </w:r>
      <w:r>
        <w:t xml:space="preserve">ssumptions </w:t>
      </w:r>
      <w:r w:rsidR="00216487">
        <w:t>and v</w:t>
      </w:r>
      <w:r>
        <w:t>aluation results</w:t>
      </w:r>
    </w:p>
    <w:p w:rsidR="00612CF8" w:rsidRDefault="00612CF8" w:rsidP="00612CF8">
      <w:pPr>
        <w:ind w:left="1080"/>
      </w:pPr>
    </w:p>
    <w:p w:rsidR="002E79E6" w:rsidRDefault="002E79E6" w:rsidP="002E79E6"/>
    <w:p w:rsidR="00712922" w:rsidRDefault="00712922" w:rsidP="002E79E6">
      <w:r>
        <w:br w:type="page"/>
      </w:r>
    </w:p>
    <w:p w:rsidR="001D7A23" w:rsidRDefault="001D7A23" w:rsidP="001D7A23"/>
    <w:p w:rsidR="0019660A" w:rsidRDefault="00712922" w:rsidP="00712922">
      <w:pPr>
        <w:pStyle w:val="Heading1"/>
      </w:pPr>
      <w:bookmarkStart w:id="24" w:name="_Toc361742280"/>
      <w:r>
        <w:t xml:space="preserve">Appendix 2: </w:t>
      </w:r>
      <w:r w:rsidR="0019660A">
        <w:t>Process flow for consideration of Unsolicited Proposal</w:t>
      </w:r>
      <w:bookmarkEnd w:id="24"/>
    </w:p>
    <w:p w:rsidR="0019660A" w:rsidRDefault="0019660A" w:rsidP="0019660A"/>
    <w:p w:rsidR="0019660A" w:rsidRPr="0019660A" w:rsidRDefault="00B46983" w:rsidP="0019660A">
      <w:r>
        <w:object w:dxaOrig="5530" w:dyaOrig="10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504.75pt" o:ole="">
            <v:imagedata r:id="rId12" o:title=""/>
          </v:shape>
          <o:OLEObject Type="Embed" ProgID="Visio.Drawing.11" ShapeID="_x0000_i1025" DrawAspect="Content" ObjectID="_1463228822" r:id="rId13"/>
        </w:object>
      </w:r>
    </w:p>
    <w:p w:rsidR="000C2740" w:rsidRDefault="000C2740">
      <w:r>
        <w:br w:type="page"/>
      </w:r>
    </w:p>
    <w:p w:rsidR="00CA22B7" w:rsidRDefault="00CA22B7" w:rsidP="000C2740">
      <w:pPr>
        <w:pStyle w:val="Heading1"/>
        <w:sectPr w:rsidR="00CA22B7" w:rsidSect="00A35837">
          <w:footerReference w:type="default" r:id="rId14"/>
          <w:pgSz w:w="11906" w:h="16838"/>
          <w:pgMar w:top="1440" w:right="1440" w:bottom="1440" w:left="1440" w:header="708" w:footer="708" w:gutter="0"/>
          <w:pgNumType w:start="1"/>
          <w:cols w:space="708"/>
          <w:docGrid w:linePitch="360"/>
        </w:sectPr>
      </w:pPr>
    </w:p>
    <w:p w:rsidR="000C2740" w:rsidRDefault="000C2740" w:rsidP="000C2740">
      <w:pPr>
        <w:pStyle w:val="Heading1"/>
      </w:pPr>
      <w:bookmarkStart w:id="25" w:name="_Toc361742281"/>
      <w:r>
        <w:lastRenderedPageBreak/>
        <w:t>Appendix 3: Checklist for confirming compliance with Stage 1 Requirements</w:t>
      </w:r>
      <w:bookmarkEnd w:id="25"/>
      <w:r>
        <w:t xml:space="preserve"> </w:t>
      </w:r>
    </w:p>
    <w:p w:rsidR="000C2740" w:rsidRDefault="000C2740" w:rsidP="000C2740"/>
    <w:tbl>
      <w:tblPr>
        <w:tblStyle w:val="TableGrid"/>
        <w:tblW w:w="0" w:type="auto"/>
        <w:tblLook w:val="04A0" w:firstRow="1" w:lastRow="0" w:firstColumn="1" w:lastColumn="0" w:noHBand="0" w:noVBand="1"/>
      </w:tblPr>
      <w:tblGrid>
        <w:gridCol w:w="5637"/>
        <w:gridCol w:w="1984"/>
        <w:gridCol w:w="5245"/>
      </w:tblGrid>
      <w:tr w:rsidR="000C2740" w:rsidRPr="000C2740" w:rsidTr="00275C0D">
        <w:tc>
          <w:tcPr>
            <w:tcW w:w="5637" w:type="dxa"/>
            <w:shd w:val="clear" w:color="auto" w:fill="1F497D" w:themeFill="text2"/>
          </w:tcPr>
          <w:p w:rsidR="000C2740" w:rsidRPr="000C2740" w:rsidRDefault="000C2740" w:rsidP="000C2740">
            <w:pPr>
              <w:jc w:val="center"/>
              <w:rPr>
                <w:b/>
                <w:color w:val="FFFFFF" w:themeColor="background1"/>
                <w:sz w:val="24"/>
              </w:rPr>
            </w:pPr>
            <w:r w:rsidRPr="000C2740">
              <w:rPr>
                <w:b/>
                <w:color w:val="FFFFFF" w:themeColor="background1"/>
                <w:sz w:val="24"/>
              </w:rPr>
              <w:t>Matter to be evaluated</w:t>
            </w:r>
          </w:p>
        </w:tc>
        <w:tc>
          <w:tcPr>
            <w:tcW w:w="1984" w:type="dxa"/>
            <w:shd w:val="clear" w:color="auto" w:fill="1F497D" w:themeFill="text2"/>
          </w:tcPr>
          <w:p w:rsidR="000C2740" w:rsidRPr="000C2740" w:rsidRDefault="000C2740" w:rsidP="000C2740">
            <w:pPr>
              <w:jc w:val="center"/>
              <w:rPr>
                <w:b/>
                <w:color w:val="FFFFFF" w:themeColor="background1"/>
                <w:sz w:val="24"/>
              </w:rPr>
            </w:pPr>
            <w:r w:rsidRPr="000C2740">
              <w:rPr>
                <w:b/>
                <w:color w:val="FFFFFF" w:themeColor="background1"/>
                <w:sz w:val="24"/>
              </w:rPr>
              <w:t>Confirm compliance (Y/N/Na)</w:t>
            </w:r>
          </w:p>
        </w:tc>
        <w:tc>
          <w:tcPr>
            <w:tcW w:w="5245" w:type="dxa"/>
            <w:shd w:val="clear" w:color="auto" w:fill="1F497D" w:themeFill="text2"/>
          </w:tcPr>
          <w:p w:rsidR="000C2740" w:rsidRPr="000C2740" w:rsidRDefault="000C2740" w:rsidP="000C2740">
            <w:pPr>
              <w:jc w:val="center"/>
              <w:rPr>
                <w:b/>
                <w:color w:val="FFFFFF" w:themeColor="background1"/>
                <w:sz w:val="24"/>
              </w:rPr>
            </w:pPr>
            <w:r w:rsidRPr="000C2740">
              <w:rPr>
                <w:b/>
                <w:color w:val="FFFFFF" w:themeColor="background1"/>
                <w:sz w:val="24"/>
              </w:rPr>
              <w:t>Comments</w:t>
            </w:r>
          </w:p>
        </w:tc>
      </w:tr>
      <w:tr w:rsidR="004A16D1" w:rsidTr="00275C0D">
        <w:tc>
          <w:tcPr>
            <w:tcW w:w="5637" w:type="dxa"/>
          </w:tcPr>
          <w:p w:rsidR="004A16D1" w:rsidRDefault="004A16D1" w:rsidP="00F71AA5">
            <w:r>
              <w:t>Has the proposal been described in sufficient clarity to enable the uninformed reader to understand the purpose and objectives of the USP?</w:t>
            </w:r>
          </w:p>
        </w:tc>
        <w:tc>
          <w:tcPr>
            <w:tcW w:w="1984" w:type="dxa"/>
          </w:tcPr>
          <w:p w:rsidR="004A16D1" w:rsidRDefault="004A16D1" w:rsidP="000C2740"/>
        </w:tc>
        <w:tc>
          <w:tcPr>
            <w:tcW w:w="5245" w:type="dxa"/>
          </w:tcPr>
          <w:p w:rsidR="004A16D1" w:rsidRDefault="004A16D1" w:rsidP="000C2740"/>
        </w:tc>
      </w:tr>
      <w:tr w:rsidR="00B46983" w:rsidTr="00275C0D">
        <w:tc>
          <w:tcPr>
            <w:tcW w:w="5637" w:type="dxa"/>
          </w:tcPr>
          <w:p w:rsidR="00B46983" w:rsidRDefault="00B46983" w:rsidP="00A85575">
            <w:r>
              <w:t>Does the proposed project meet MoWT’s strategic objectives and goals, and is it consistent with the objectives in the NDP?</w:t>
            </w:r>
          </w:p>
        </w:tc>
        <w:tc>
          <w:tcPr>
            <w:tcW w:w="1984" w:type="dxa"/>
          </w:tcPr>
          <w:p w:rsidR="00B46983" w:rsidRDefault="00B46983" w:rsidP="00A85575"/>
        </w:tc>
        <w:tc>
          <w:tcPr>
            <w:tcW w:w="5245" w:type="dxa"/>
          </w:tcPr>
          <w:p w:rsidR="00B46983" w:rsidRDefault="00B46983" w:rsidP="00A85575"/>
        </w:tc>
      </w:tr>
      <w:tr w:rsidR="000C2740" w:rsidTr="00275C0D">
        <w:tc>
          <w:tcPr>
            <w:tcW w:w="5637" w:type="dxa"/>
          </w:tcPr>
          <w:p w:rsidR="000C2740" w:rsidRDefault="00F446C5" w:rsidP="00F71AA5">
            <w:r>
              <w:t xml:space="preserve">Has a pre-feasibility study been prepared in sufficient detail to </w:t>
            </w:r>
            <w:r w:rsidR="00F71AA5">
              <w:t xml:space="preserve">enable </w:t>
            </w:r>
            <w:r>
              <w:t>consideration of costs</w:t>
            </w:r>
            <w:r w:rsidR="00F71AA5">
              <w:t xml:space="preserve"> (capital and operating)</w:t>
            </w:r>
            <w:r>
              <w:t xml:space="preserve"> and revenue streams?</w:t>
            </w:r>
          </w:p>
        </w:tc>
        <w:tc>
          <w:tcPr>
            <w:tcW w:w="1984" w:type="dxa"/>
          </w:tcPr>
          <w:p w:rsidR="000C2740" w:rsidRDefault="000C2740" w:rsidP="000C2740"/>
        </w:tc>
        <w:tc>
          <w:tcPr>
            <w:tcW w:w="5245" w:type="dxa"/>
          </w:tcPr>
          <w:p w:rsidR="000C2740" w:rsidRDefault="000C2740" w:rsidP="000C2740"/>
        </w:tc>
      </w:tr>
      <w:tr w:rsidR="004A16D1" w:rsidTr="00275C0D">
        <w:tc>
          <w:tcPr>
            <w:tcW w:w="5637" w:type="dxa"/>
          </w:tcPr>
          <w:p w:rsidR="004A16D1" w:rsidRDefault="004A16D1" w:rsidP="00F446C5">
            <w:r>
              <w:t>Does the initial cost / benefit analysis seem reasonable?</w:t>
            </w:r>
          </w:p>
        </w:tc>
        <w:tc>
          <w:tcPr>
            <w:tcW w:w="1984" w:type="dxa"/>
          </w:tcPr>
          <w:p w:rsidR="004A16D1" w:rsidRDefault="004A16D1" w:rsidP="000C2740"/>
        </w:tc>
        <w:tc>
          <w:tcPr>
            <w:tcW w:w="5245" w:type="dxa"/>
          </w:tcPr>
          <w:p w:rsidR="004A16D1" w:rsidRDefault="004A16D1" w:rsidP="000C2740"/>
        </w:tc>
      </w:tr>
      <w:tr w:rsidR="000C2740" w:rsidTr="00275C0D">
        <w:tc>
          <w:tcPr>
            <w:tcW w:w="5637" w:type="dxa"/>
          </w:tcPr>
          <w:p w:rsidR="000C2740" w:rsidRDefault="00F446C5" w:rsidP="00F446C5">
            <w:r>
              <w:t>Has an initial risk assessment been performed?</w:t>
            </w:r>
          </w:p>
        </w:tc>
        <w:tc>
          <w:tcPr>
            <w:tcW w:w="1984" w:type="dxa"/>
          </w:tcPr>
          <w:p w:rsidR="000C2740" w:rsidRDefault="000C2740" w:rsidP="000C2740"/>
        </w:tc>
        <w:tc>
          <w:tcPr>
            <w:tcW w:w="5245" w:type="dxa"/>
          </w:tcPr>
          <w:p w:rsidR="000C2740" w:rsidRDefault="000C2740" w:rsidP="000C2740"/>
        </w:tc>
      </w:tr>
      <w:tr w:rsidR="000C2740" w:rsidTr="00275C0D">
        <w:tc>
          <w:tcPr>
            <w:tcW w:w="5637" w:type="dxa"/>
          </w:tcPr>
          <w:p w:rsidR="000C2740" w:rsidRDefault="00F446C5" w:rsidP="00F446C5">
            <w:r>
              <w:t>Is the proposed risk allocation appropriate?</w:t>
            </w:r>
          </w:p>
        </w:tc>
        <w:tc>
          <w:tcPr>
            <w:tcW w:w="1984" w:type="dxa"/>
          </w:tcPr>
          <w:p w:rsidR="000C2740" w:rsidRDefault="000C2740" w:rsidP="000C2740"/>
        </w:tc>
        <w:tc>
          <w:tcPr>
            <w:tcW w:w="5245" w:type="dxa"/>
          </w:tcPr>
          <w:p w:rsidR="000C2740" w:rsidRDefault="000C2740" w:rsidP="000C2740"/>
        </w:tc>
      </w:tr>
      <w:tr w:rsidR="000C2740" w:rsidTr="00275C0D">
        <w:tc>
          <w:tcPr>
            <w:tcW w:w="5637" w:type="dxa"/>
          </w:tcPr>
          <w:p w:rsidR="000C2740" w:rsidRDefault="00F446C5" w:rsidP="000C2740">
            <w:r>
              <w:t>Does the proponent have the necessary experience and capacity to develop and or deliver the proposed project?</w:t>
            </w:r>
          </w:p>
        </w:tc>
        <w:tc>
          <w:tcPr>
            <w:tcW w:w="1984" w:type="dxa"/>
          </w:tcPr>
          <w:p w:rsidR="000C2740" w:rsidRDefault="000C2740" w:rsidP="000C2740"/>
        </w:tc>
        <w:tc>
          <w:tcPr>
            <w:tcW w:w="5245" w:type="dxa"/>
          </w:tcPr>
          <w:p w:rsidR="000C2740" w:rsidRDefault="000C2740" w:rsidP="000C2740"/>
        </w:tc>
      </w:tr>
    </w:tbl>
    <w:p w:rsidR="000C2740" w:rsidRDefault="000C2740" w:rsidP="000C2740"/>
    <w:p w:rsidR="000C2740" w:rsidRPr="0009268F" w:rsidRDefault="000C2740" w:rsidP="000C2740">
      <w:pPr>
        <w:rPr>
          <w:b/>
        </w:rPr>
      </w:pPr>
      <w:r w:rsidRPr="0009268F">
        <w:rPr>
          <w:b/>
        </w:rPr>
        <w:t>How have you satisfied yourself that the proposal is</w:t>
      </w:r>
      <w:r w:rsidR="00F446C5">
        <w:rPr>
          <w:b/>
        </w:rPr>
        <w:t xml:space="preserve"> innovative and that the Proponent is the sole potential provider of the innovation</w:t>
      </w:r>
      <w:r w:rsidRPr="0009268F">
        <w:rPr>
          <w:b/>
        </w:rPr>
        <w:t>?</w:t>
      </w:r>
    </w:p>
    <w:p w:rsidR="000C2740" w:rsidRDefault="000C2740" w:rsidP="000C2740"/>
    <w:p w:rsidR="00275C0D" w:rsidRDefault="00275C0D" w:rsidP="000C2740">
      <w:pPr>
        <w:rPr>
          <w:b/>
        </w:rPr>
      </w:pPr>
    </w:p>
    <w:p w:rsidR="00B152A5" w:rsidRPr="0009268F" w:rsidRDefault="00B152A5" w:rsidP="000C2740">
      <w:pPr>
        <w:rPr>
          <w:b/>
        </w:rPr>
      </w:pPr>
      <w:r w:rsidRPr="0009268F">
        <w:rPr>
          <w:b/>
        </w:rPr>
        <w:t>What is your recommendation for next steps?</w:t>
      </w:r>
      <w:r w:rsidR="00275C0D">
        <w:rPr>
          <w:b/>
        </w:rPr>
        <w:t xml:space="preserve"> (circle one)</w:t>
      </w:r>
      <w:r w:rsidRPr="0009268F">
        <w:rPr>
          <w:b/>
        </w:rPr>
        <w:t xml:space="preserve"> </w:t>
      </w:r>
    </w:p>
    <w:p w:rsidR="00B152A5" w:rsidRDefault="00B152A5" w:rsidP="00275C0D">
      <w:pPr>
        <w:ind w:left="720" w:firstLine="720"/>
      </w:pPr>
      <w:r>
        <w:t xml:space="preserve">Reject </w:t>
      </w:r>
      <w:r>
        <w:tab/>
      </w:r>
      <w:r>
        <w:tab/>
      </w:r>
      <w:r>
        <w:tab/>
      </w:r>
      <w:r w:rsidR="00275C0D">
        <w:tab/>
      </w:r>
      <w:r w:rsidR="00275C0D">
        <w:tab/>
      </w:r>
      <w:r>
        <w:t xml:space="preserve">Accept and Proceed to Stage 2 </w:t>
      </w:r>
      <w:r>
        <w:tab/>
      </w:r>
      <w:r>
        <w:tab/>
      </w:r>
      <w:r w:rsidR="00275C0D">
        <w:tab/>
      </w:r>
      <w:r w:rsidR="00275C0D">
        <w:tab/>
      </w:r>
      <w:r>
        <w:t>Accept for Competitive Proposal</w:t>
      </w:r>
    </w:p>
    <w:p w:rsidR="00B152A5" w:rsidRDefault="00B152A5" w:rsidP="000C2740"/>
    <w:p w:rsidR="000C2740" w:rsidRPr="0009268F" w:rsidRDefault="00B152A5" w:rsidP="000C2740">
      <w:pPr>
        <w:rPr>
          <w:b/>
        </w:rPr>
      </w:pPr>
      <w:r>
        <w:t xml:space="preserve">(If Accept and Proceed to Stage 2) </w:t>
      </w:r>
      <w:r w:rsidR="000C2740" w:rsidRPr="0009268F">
        <w:rPr>
          <w:b/>
        </w:rPr>
        <w:t xml:space="preserve">Any </w:t>
      </w:r>
      <w:r w:rsidRPr="0009268F">
        <w:rPr>
          <w:b/>
        </w:rPr>
        <w:t xml:space="preserve">specific </w:t>
      </w:r>
      <w:r w:rsidR="000C2740" w:rsidRPr="0009268F">
        <w:rPr>
          <w:b/>
        </w:rPr>
        <w:t xml:space="preserve">matters which </w:t>
      </w:r>
      <w:r w:rsidRPr="0009268F">
        <w:rPr>
          <w:b/>
        </w:rPr>
        <w:t xml:space="preserve">require particular further development by the Proponent </w:t>
      </w:r>
      <w:r w:rsidR="000C2740" w:rsidRPr="0009268F">
        <w:rPr>
          <w:b/>
        </w:rPr>
        <w:t>as part of the</w:t>
      </w:r>
      <w:r w:rsidRPr="0009268F">
        <w:rPr>
          <w:b/>
        </w:rPr>
        <w:t>ir</w:t>
      </w:r>
      <w:r w:rsidR="000C2740" w:rsidRPr="0009268F">
        <w:rPr>
          <w:b/>
        </w:rPr>
        <w:t xml:space="preserve"> preparation of the Detailed Proposal?</w:t>
      </w:r>
    </w:p>
    <w:p w:rsidR="000C2740" w:rsidRDefault="000C2740" w:rsidP="000C2740"/>
    <w:p w:rsidR="000C2740" w:rsidRDefault="000C2740" w:rsidP="000C2740"/>
    <w:p w:rsidR="00B152A5" w:rsidRDefault="00B152A5" w:rsidP="000C2740"/>
    <w:p w:rsidR="00B152A5" w:rsidRDefault="00B152A5" w:rsidP="000C2740"/>
    <w:p w:rsidR="0009268F" w:rsidRPr="0009268F" w:rsidRDefault="000C2740" w:rsidP="000C2740">
      <w:pPr>
        <w:rPr>
          <w:b/>
        </w:rPr>
      </w:pPr>
      <w:r w:rsidRPr="0009268F">
        <w:rPr>
          <w:b/>
        </w:rPr>
        <w:t>Any other comments?</w:t>
      </w:r>
    </w:p>
    <w:p w:rsidR="0009268F" w:rsidRDefault="0009268F" w:rsidP="000C2740"/>
    <w:p w:rsidR="0009268F" w:rsidRDefault="0009268F" w:rsidP="000C2740"/>
    <w:p w:rsidR="0009268F" w:rsidRDefault="0009268F" w:rsidP="000C2740"/>
    <w:p w:rsidR="0009268F" w:rsidRDefault="0009268F" w:rsidP="0009268F">
      <w:pPr>
        <w:rPr>
          <w:b/>
        </w:rPr>
      </w:pPr>
      <w:r>
        <w:rPr>
          <w:b/>
        </w:rPr>
        <w:t>Name of evaluator</w:t>
      </w:r>
    </w:p>
    <w:p w:rsidR="00275C0D" w:rsidRDefault="0009268F" w:rsidP="0009268F">
      <w:r>
        <w:rPr>
          <w:b/>
        </w:rPr>
        <w:t>Signature</w:t>
      </w:r>
      <w:r>
        <w:t xml:space="preserve"> </w:t>
      </w:r>
    </w:p>
    <w:p w:rsidR="000C2740" w:rsidRDefault="00275C0D" w:rsidP="0009268F">
      <w:r>
        <w:t>Date</w:t>
      </w:r>
      <w:r w:rsidR="0019660A">
        <w:br w:type="page"/>
      </w:r>
    </w:p>
    <w:p w:rsidR="000C2740" w:rsidRPr="000C2740" w:rsidRDefault="000C2740" w:rsidP="000C2740"/>
    <w:p w:rsidR="0019660A" w:rsidRDefault="000C2740" w:rsidP="000C2740">
      <w:pPr>
        <w:pStyle w:val="Heading1"/>
      </w:pPr>
      <w:bookmarkStart w:id="26" w:name="_Toc361742282"/>
      <w:r>
        <w:t xml:space="preserve">Appendix 4: Checklist for </w:t>
      </w:r>
      <w:r w:rsidR="00DF0E62">
        <w:t xml:space="preserve">documenting results of review of Detailed Proposal at </w:t>
      </w:r>
      <w:r>
        <w:t xml:space="preserve"> Stage 2 </w:t>
      </w:r>
      <w:bookmarkEnd w:id="26"/>
    </w:p>
    <w:p w:rsidR="00B152A5" w:rsidRPr="00B152A5" w:rsidRDefault="00B152A5" w:rsidP="00B152A5"/>
    <w:tbl>
      <w:tblPr>
        <w:tblStyle w:val="TableGrid"/>
        <w:tblW w:w="0" w:type="auto"/>
        <w:tblLook w:val="04A0" w:firstRow="1" w:lastRow="0" w:firstColumn="1" w:lastColumn="0" w:noHBand="0" w:noVBand="1"/>
      </w:tblPr>
      <w:tblGrid>
        <w:gridCol w:w="6204"/>
        <w:gridCol w:w="6095"/>
      </w:tblGrid>
      <w:tr w:rsidR="00BF1EA6" w:rsidRPr="000C2740" w:rsidTr="00BF1EA6">
        <w:tc>
          <w:tcPr>
            <w:tcW w:w="6204" w:type="dxa"/>
            <w:shd w:val="clear" w:color="auto" w:fill="1F497D" w:themeFill="text2"/>
          </w:tcPr>
          <w:p w:rsidR="00BF1EA6" w:rsidRPr="000C2740" w:rsidRDefault="00BF1EA6" w:rsidP="0051084C">
            <w:pPr>
              <w:jc w:val="center"/>
              <w:rPr>
                <w:b/>
                <w:color w:val="FFFFFF" w:themeColor="background1"/>
                <w:sz w:val="24"/>
              </w:rPr>
            </w:pPr>
            <w:r w:rsidRPr="000C2740">
              <w:rPr>
                <w:b/>
                <w:color w:val="FFFFFF" w:themeColor="background1"/>
                <w:sz w:val="24"/>
              </w:rPr>
              <w:t>Matter to be evaluated</w:t>
            </w:r>
          </w:p>
        </w:tc>
        <w:tc>
          <w:tcPr>
            <w:tcW w:w="6095" w:type="dxa"/>
            <w:shd w:val="clear" w:color="auto" w:fill="1F497D" w:themeFill="text2"/>
          </w:tcPr>
          <w:p w:rsidR="00BF1EA6" w:rsidRPr="000C2740" w:rsidRDefault="00BF1EA6" w:rsidP="0051084C">
            <w:pPr>
              <w:jc w:val="center"/>
              <w:rPr>
                <w:b/>
                <w:color w:val="FFFFFF" w:themeColor="background1"/>
                <w:sz w:val="24"/>
              </w:rPr>
            </w:pPr>
            <w:r w:rsidRPr="000C2740">
              <w:rPr>
                <w:b/>
                <w:color w:val="FFFFFF" w:themeColor="background1"/>
                <w:sz w:val="24"/>
              </w:rPr>
              <w:t>Comments</w:t>
            </w:r>
          </w:p>
        </w:tc>
      </w:tr>
      <w:tr w:rsidR="00BF1EA6" w:rsidTr="00BF1EA6">
        <w:tc>
          <w:tcPr>
            <w:tcW w:w="6204" w:type="dxa"/>
          </w:tcPr>
          <w:p w:rsidR="00BF1EA6" w:rsidRDefault="00BF1EA6" w:rsidP="0051084C">
            <w:r>
              <w:t>Have you evaluated the economic, technical and financial viability of the project?</w:t>
            </w:r>
          </w:p>
        </w:tc>
        <w:tc>
          <w:tcPr>
            <w:tcW w:w="6095" w:type="dxa"/>
          </w:tcPr>
          <w:p w:rsidR="00BF1EA6" w:rsidRDefault="00BF1EA6" w:rsidP="0051084C"/>
        </w:tc>
      </w:tr>
      <w:tr w:rsidR="00DF0E62" w:rsidTr="00BF1EA6">
        <w:tc>
          <w:tcPr>
            <w:tcW w:w="6204" w:type="dxa"/>
          </w:tcPr>
          <w:p w:rsidR="00DF0E62" w:rsidRDefault="00DF0E62" w:rsidP="0051084C">
            <w:r>
              <w:t>Have any other options been considered?  If so, why were they rejected, or why is this the preferred option</w:t>
            </w:r>
          </w:p>
        </w:tc>
        <w:tc>
          <w:tcPr>
            <w:tcW w:w="6095" w:type="dxa"/>
          </w:tcPr>
          <w:p w:rsidR="00DF0E62" w:rsidRDefault="00DF0E62" w:rsidP="0051084C"/>
        </w:tc>
      </w:tr>
      <w:tr w:rsidR="00BF1EA6" w:rsidTr="00BF1EA6">
        <w:tc>
          <w:tcPr>
            <w:tcW w:w="6204" w:type="dxa"/>
          </w:tcPr>
          <w:p w:rsidR="00BF1EA6" w:rsidRDefault="00BF1EA6" w:rsidP="0051084C">
            <w:r>
              <w:t>What are the expected economic and financial returns?</w:t>
            </w:r>
          </w:p>
        </w:tc>
        <w:tc>
          <w:tcPr>
            <w:tcW w:w="6095" w:type="dxa"/>
          </w:tcPr>
          <w:p w:rsidR="00BF1EA6" w:rsidRDefault="00BF1EA6" w:rsidP="0051084C"/>
        </w:tc>
      </w:tr>
      <w:tr w:rsidR="00BF1EA6" w:rsidTr="00BF1EA6">
        <w:tc>
          <w:tcPr>
            <w:tcW w:w="6204" w:type="dxa"/>
          </w:tcPr>
          <w:p w:rsidR="00BF1EA6" w:rsidRDefault="00BF1EA6" w:rsidP="0051084C">
            <w:r>
              <w:t xml:space="preserve">What are the key risks identified and which party is proposed to bear each one?  </w:t>
            </w:r>
          </w:p>
        </w:tc>
        <w:tc>
          <w:tcPr>
            <w:tcW w:w="6095" w:type="dxa"/>
          </w:tcPr>
          <w:p w:rsidR="00BF1EA6" w:rsidRDefault="00BF1EA6" w:rsidP="0051084C"/>
        </w:tc>
      </w:tr>
      <w:tr w:rsidR="00BF1EA6" w:rsidTr="00BF1EA6">
        <w:tc>
          <w:tcPr>
            <w:tcW w:w="6204" w:type="dxa"/>
          </w:tcPr>
          <w:p w:rsidR="00BF1EA6" w:rsidRDefault="00BF1EA6" w:rsidP="0051084C">
            <w:r>
              <w:t>Is this risk allocation appropriate?</w:t>
            </w:r>
          </w:p>
        </w:tc>
        <w:tc>
          <w:tcPr>
            <w:tcW w:w="6095" w:type="dxa"/>
          </w:tcPr>
          <w:p w:rsidR="00BF1EA6" w:rsidRDefault="00BF1EA6" w:rsidP="0051084C"/>
        </w:tc>
      </w:tr>
      <w:tr w:rsidR="00BF1EA6" w:rsidTr="00BF1EA6">
        <w:tc>
          <w:tcPr>
            <w:tcW w:w="6204" w:type="dxa"/>
          </w:tcPr>
          <w:p w:rsidR="00BF1EA6" w:rsidRDefault="00BF1EA6" w:rsidP="0051084C">
            <w:r>
              <w:t>Have you evaluated the VFM provided by the project, and is it appropriate?  How does it compare to the PSC?</w:t>
            </w:r>
          </w:p>
        </w:tc>
        <w:tc>
          <w:tcPr>
            <w:tcW w:w="6095" w:type="dxa"/>
          </w:tcPr>
          <w:p w:rsidR="00BF1EA6" w:rsidRDefault="00BF1EA6" w:rsidP="0051084C"/>
        </w:tc>
      </w:tr>
      <w:tr w:rsidR="00BF1EA6" w:rsidTr="00BF1EA6">
        <w:tc>
          <w:tcPr>
            <w:tcW w:w="6204" w:type="dxa"/>
          </w:tcPr>
          <w:p w:rsidR="00BF1EA6" w:rsidRDefault="00BF1EA6" w:rsidP="0051084C">
            <w:r>
              <w:t>Has the MoFPED provided comment on whether the RoI is appropriate for the level of risk transferred?</w:t>
            </w:r>
          </w:p>
        </w:tc>
        <w:tc>
          <w:tcPr>
            <w:tcW w:w="6095" w:type="dxa"/>
          </w:tcPr>
          <w:p w:rsidR="00BF1EA6" w:rsidRDefault="00BF1EA6" w:rsidP="0051084C"/>
        </w:tc>
      </w:tr>
      <w:tr w:rsidR="00BF1EA6" w:rsidTr="00BF1EA6">
        <w:tc>
          <w:tcPr>
            <w:tcW w:w="6204" w:type="dxa"/>
          </w:tcPr>
          <w:p w:rsidR="00BF1EA6" w:rsidRDefault="00BF1EA6" w:rsidP="00BF1EA6">
            <w:r>
              <w:t xml:space="preserve">What are the results from the Due diligence assessment of Proponent: does it have the necessary experience, capacity, financial capability, </w:t>
            </w:r>
          </w:p>
        </w:tc>
        <w:tc>
          <w:tcPr>
            <w:tcW w:w="6095" w:type="dxa"/>
          </w:tcPr>
          <w:p w:rsidR="00BF1EA6" w:rsidRDefault="00BF1EA6" w:rsidP="0051084C"/>
        </w:tc>
      </w:tr>
      <w:tr w:rsidR="00BF1EA6" w:rsidTr="00BF1EA6">
        <w:tc>
          <w:tcPr>
            <w:tcW w:w="6204" w:type="dxa"/>
          </w:tcPr>
          <w:p w:rsidR="00BF1EA6" w:rsidRDefault="00BF1EA6" w:rsidP="00BF1EA6">
            <w:r>
              <w:t>What are the results from the Due diligence assessment of the Project: for brownfield projects have you considered the nature and condition of existing assets, land ownership, rights and conditions, environmental scoping, and whether there are any staff issues. For greenfie</w:t>
            </w:r>
            <w:r w:rsidR="00DF0E62">
              <w:t>ld projects have you identified</w:t>
            </w:r>
            <w:r>
              <w:t xml:space="preserve"> ground conditions</w:t>
            </w:r>
            <w:r w:rsidR="00DF0E62">
              <w:t>, land ownership, rights and conditions, environmental matters?</w:t>
            </w:r>
            <w:r>
              <w:t xml:space="preserve"> </w:t>
            </w:r>
          </w:p>
        </w:tc>
        <w:tc>
          <w:tcPr>
            <w:tcW w:w="6095" w:type="dxa"/>
          </w:tcPr>
          <w:p w:rsidR="00BF1EA6" w:rsidRDefault="00BF1EA6" w:rsidP="0051084C"/>
        </w:tc>
      </w:tr>
      <w:tr w:rsidR="00BF1EA6" w:rsidTr="00BF1EA6">
        <w:tc>
          <w:tcPr>
            <w:tcW w:w="6204" w:type="dxa"/>
          </w:tcPr>
          <w:p w:rsidR="00BF1EA6" w:rsidRDefault="00BF1EA6" w:rsidP="0051084C">
            <w:r>
              <w:t>Does the proponent have the necessary experience and capacity to develop and or deliver the proposed project?</w:t>
            </w:r>
          </w:p>
        </w:tc>
        <w:tc>
          <w:tcPr>
            <w:tcW w:w="6095" w:type="dxa"/>
          </w:tcPr>
          <w:p w:rsidR="00BF1EA6" w:rsidRDefault="00BF1EA6" w:rsidP="0051084C"/>
        </w:tc>
      </w:tr>
    </w:tbl>
    <w:p w:rsidR="00B152A5" w:rsidRDefault="00B152A5"/>
    <w:p w:rsidR="00B152A5" w:rsidRPr="0009268F" w:rsidRDefault="00B152A5" w:rsidP="00B152A5">
      <w:pPr>
        <w:rPr>
          <w:b/>
        </w:rPr>
      </w:pPr>
      <w:r w:rsidRPr="0009268F">
        <w:rPr>
          <w:b/>
        </w:rPr>
        <w:lastRenderedPageBreak/>
        <w:t>How have you satisfied yourself that the proposal is still unique?</w:t>
      </w:r>
    </w:p>
    <w:p w:rsidR="00B152A5" w:rsidRDefault="00B152A5" w:rsidP="00B152A5"/>
    <w:p w:rsidR="00B152A5" w:rsidRPr="0009268F" w:rsidRDefault="00B152A5" w:rsidP="00B152A5">
      <w:pPr>
        <w:rPr>
          <w:b/>
        </w:rPr>
      </w:pPr>
    </w:p>
    <w:p w:rsidR="00275C0D" w:rsidRDefault="00275C0D" w:rsidP="00B152A5">
      <w:pPr>
        <w:rPr>
          <w:b/>
        </w:rPr>
      </w:pPr>
    </w:p>
    <w:p w:rsidR="00275C0D" w:rsidRDefault="00275C0D" w:rsidP="00B152A5">
      <w:pPr>
        <w:rPr>
          <w:b/>
        </w:rPr>
      </w:pPr>
    </w:p>
    <w:p w:rsidR="00B152A5" w:rsidRPr="0009268F" w:rsidRDefault="00B152A5" w:rsidP="00B152A5">
      <w:pPr>
        <w:rPr>
          <w:b/>
        </w:rPr>
      </w:pPr>
      <w:r w:rsidRPr="0009268F">
        <w:rPr>
          <w:b/>
        </w:rPr>
        <w:t>What is your recommendation for next step</w:t>
      </w:r>
      <w:r w:rsidR="0009268F">
        <w:rPr>
          <w:b/>
        </w:rPr>
        <w:t>?</w:t>
      </w:r>
      <w:r w:rsidR="00275C0D">
        <w:rPr>
          <w:b/>
        </w:rPr>
        <w:t xml:space="preserve"> (circle one)</w:t>
      </w:r>
      <w:r w:rsidRPr="0009268F">
        <w:rPr>
          <w:b/>
        </w:rPr>
        <w:t xml:space="preserve"> </w:t>
      </w:r>
    </w:p>
    <w:p w:rsidR="00B152A5" w:rsidRDefault="00275C0D" w:rsidP="00B152A5">
      <w:r>
        <w:t xml:space="preserve"> </w:t>
      </w:r>
      <w:r>
        <w:tab/>
      </w:r>
      <w:r>
        <w:tab/>
      </w:r>
      <w:r w:rsidR="00B152A5">
        <w:t>Reject</w:t>
      </w:r>
      <w:r w:rsidR="00B152A5">
        <w:tab/>
      </w:r>
      <w:r w:rsidR="00B152A5">
        <w:tab/>
      </w:r>
      <w:r w:rsidR="00B152A5">
        <w:tab/>
      </w:r>
      <w:r>
        <w:tab/>
      </w:r>
      <w:r>
        <w:tab/>
      </w:r>
      <w:r w:rsidR="00B152A5">
        <w:t xml:space="preserve"> Accept and Proceed to Stage 3 </w:t>
      </w:r>
      <w:r w:rsidR="00B152A5">
        <w:tab/>
      </w:r>
      <w:r w:rsidR="00B152A5">
        <w:tab/>
      </w:r>
      <w:r>
        <w:tab/>
      </w:r>
      <w:r>
        <w:tab/>
      </w:r>
      <w:r w:rsidR="00B152A5">
        <w:t>Accept for Competitive Proposal</w:t>
      </w:r>
    </w:p>
    <w:p w:rsidR="00B152A5" w:rsidRPr="0009268F" w:rsidRDefault="00B152A5" w:rsidP="00B152A5">
      <w:pPr>
        <w:rPr>
          <w:b/>
        </w:rPr>
      </w:pPr>
      <w:r>
        <w:t xml:space="preserve">(If Accept for Stage 3) </w:t>
      </w:r>
      <w:r w:rsidRPr="0009268F">
        <w:rPr>
          <w:b/>
        </w:rPr>
        <w:t>Any specific matters which require particular discussion during Contract Negotiation?</w:t>
      </w:r>
    </w:p>
    <w:p w:rsidR="00B152A5" w:rsidRDefault="00B152A5" w:rsidP="00B152A5"/>
    <w:p w:rsidR="00B152A5" w:rsidRDefault="00B152A5"/>
    <w:p w:rsidR="00B152A5" w:rsidRDefault="00B152A5"/>
    <w:p w:rsidR="0009268F" w:rsidRDefault="00B152A5">
      <w:pPr>
        <w:rPr>
          <w:b/>
        </w:rPr>
      </w:pPr>
      <w:r w:rsidRPr="0009268F">
        <w:rPr>
          <w:b/>
        </w:rPr>
        <w:t>Any other comments?</w:t>
      </w:r>
    </w:p>
    <w:p w:rsidR="0009268F" w:rsidRDefault="0009268F">
      <w:pPr>
        <w:rPr>
          <w:b/>
        </w:rPr>
      </w:pPr>
    </w:p>
    <w:p w:rsidR="0009268F" w:rsidRDefault="0009268F">
      <w:pPr>
        <w:rPr>
          <w:b/>
        </w:rPr>
      </w:pPr>
    </w:p>
    <w:p w:rsidR="0009268F" w:rsidRDefault="0009268F">
      <w:pPr>
        <w:rPr>
          <w:b/>
        </w:rPr>
      </w:pPr>
      <w:r>
        <w:rPr>
          <w:b/>
        </w:rPr>
        <w:t>Name of evaluator</w:t>
      </w:r>
    </w:p>
    <w:p w:rsidR="00275C0D" w:rsidRDefault="0009268F">
      <w:pPr>
        <w:rPr>
          <w:b/>
        </w:rPr>
      </w:pPr>
      <w:r>
        <w:rPr>
          <w:b/>
        </w:rPr>
        <w:t>Signature</w:t>
      </w:r>
    </w:p>
    <w:p w:rsidR="000C2740" w:rsidRPr="0009268F" w:rsidRDefault="00275C0D">
      <w:pPr>
        <w:rPr>
          <w:rFonts w:asciiTheme="majorHAnsi" w:eastAsiaTheme="majorEastAsia" w:hAnsiTheme="majorHAnsi" w:cstheme="majorBidi"/>
          <w:b/>
          <w:bCs/>
          <w:color w:val="365F91" w:themeColor="accent1" w:themeShade="BF"/>
          <w:sz w:val="28"/>
          <w:szCs w:val="28"/>
        </w:rPr>
      </w:pPr>
      <w:r>
        <w:rPr>
          <w:b/>
        </w:rPr>
        <w:t>Date</w:t>
      </w:r>
      <w:r w:rsidR="000C2740" w:rsidRPr="0009268F">
        <w:rPr>
          <w:b/>
        </w:rPr>
        <w:br w:type="page"/>
      </w:r>
    </w:p>
    <w:p w:rsidR="00CA22B7" w:rsidRDefault="00CA22B7" w:rsidP="00712922">
      <w:pPr>
        <w:pStyle w:val="Heading1"/>
        <w:sectPr w:rsidR="00CA22B7" w:rsidSect="00275C0D">
          <w:footerReference w:type="default" r:id="rId15"/>
          <w:pgSz w:w="16838" w:h="11906" w:orient="landscape"/>
          <w:pgMar w:top="1440" w:right="1440" w:bottom="1440" w:left="1440" w:header="708" w:footer="708" w:gutter="0"/>
          <w:cols w:space="708"/>
          <w:docGrid w:linePitch="360"/>
        </w:sectPr>
      </w:pPr>
    </w:p>
    <w:p w:rsidR="00712922" w:rsidRDefault="000C2740" w:rsidP="00712922">
      <w:pPr>
        <w:pStyle w:val="Heading1"/>
      </w:pPr>
      <w:bookmarkStart w:id="27" w:name="_Toc361742283"/>
      <w:r>
        <w:lastRenderedPageBreak/>
        <w:t>Appendix 5</w:t>
      </w:r>
      <w:r w:rsidR="0019660A">
        <w:t xml:space="preserve">: </w:t>
      </w:r>
      <w:r w:rsidR="00712922">
        <w:t>List of personnel / organisations consulted</w:t>
      </w:r>
      <w:bookmarkEnd w:id="27"/>
    </w:p>
    <w:p w:rsidR="00712922" w:rsidRDefault="00712922" w:rsidP="00712922"/>
    <w:p w:rsidR="00712922" w:rsidRDefault="00712922" w:rsidP="00712922">
      <w:pPr>
        <w:pStyle w:val="ListParagraph"/>
        <w:numPr>
          <w:ilvl w:val="0"/>
          <w:numId w:val="21"/>
        </w:numPr>
      </w:pPr>
      <w:r>
        <w:t xml:space="preserve">Ministry of Energy and Mineral Development: Mr </w:t>
      </w:r>
      <w:r w:rsidR="00286CF4">
        <w:t>James Isingoma</w:t>
      </w:r>
      <w:r>
        <w:t>, Ag Commissioner</w:t>
      </w:r>
      <w:r w:rsidR="00286CF4">
        <w:t xml:space="preserve"> Energy Resources Department</w:t>
      </w:r>
    </w:p>
    <w:p w:rsidR="00712922" w:rsidRDefault="00712922" w:rsidP="00712922">
      <w:pPr>
        <w:pStyle w:val="ListParagraph"/>
        <w:numPr>
          <w:ilvl w:val="0"/>
          <w:numId w:val="21"/>
        </w:numPr>
      </w:pPr>
      <w:r>
        <w:t>Ministry of Finance Planning and Economic Development</w:t>
      </w:r>
      <w:r w:rsidR="00C941ED">
        <w:t>, Privatisation Unit</w:t>
      </w:r>
      <w:r>
        <w:t xml:space="preserve">: Mr Otweyo-Orono, Mr </w:t>
      </w:r>
      <w:r w:rsidR="00286CF4">
        <w:t>Bernard Oundo</w:t>
      </w:r>
      <w:r>
        <w:t xml:space="preserve">, Ms </w:t>
      </w:r>
      <w:r w:rsidR="00286CF4">
        <w:t>Beatrice Ikilai</w:t>
      </w:r>
      <w:r>
        <w:t xml:space="preserve">, Ms </w:t>
      </w:r>
      <w:r w:rsidR="00286CF4">
        <w:t>Monica Mukasa</w:t>
      </w:r>
    </w:p>
    <w:p w:rsidR="00712922" w:rsidRDefault="00712922" w:rsidP="00712922">
      <w:pPr>
        <w:pStyle w:val="ListParagraph"/>
        <w:numPr>
          <w:ilvl w:val="0"/>
          <w:numId w:val="21"/>
        </w:numPr>
      </w:pPr>
      <w:r>
        <w:t>PPDA</w:t>
      </w:r>
      <w:r w:rsidR="00C941ED">
        <w:t>, Ms Patricia Asiimwe, Director Legal and Advisory Services</w:t>
      </w:r>
    </w:p>
    <w:p w:rsidR="00C941ED" w:rsidRDefault="00C941ED" w:rsidP="00712922">
      <w:pPr>
        <w:pStyle w:val="ListParagraph"/>
        <w:numPr>
          <w:ilvl w:val="0"/>
          <w:numId w:val="21"/>
        </w:numPr>
      </w:pPr>
      <w:r>
        <w:t>Ministry of Justice, Ms Sherina Tibenkana, Senior State Attorney</w:t>
      </w:r>
    </w:p>
    <w:p w:rsidR="00A01FDE" w:rsidRDefault="00A01FDE" w:rsidP="00712922">
      <w:pPr>
        <w:pStyle w:val="ListParagraph"/>
        <w:numPr>
          <w:ilvl w:val="0"/>
          <w:numId w:val="21"/>
        </w:numPr>
      </w:pPr>
      <w:r>
        <w:t>Ministry of Works and Transport, Charles Muganzi, Permanent Secretary (until June 2013)</w:t>
      </w:r>
    </w:p>
    <w:p w:rsidR="00712922" w:rsidRPr="00712922" w:rsidRDefault="00712922" w:rsidP="00712922"/>
    <w:p w:rsidR="00796BF2" w:rsidRDefault="00796BF2" w:rsidP="00A14708"/>
    <w:sectPr w:rsidR="00796BF2" w:rsidSect="00275C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6B" w:rsidRDefault="00B6436B" w:rsidP="007409CD">
      <w:pPr>
        <w:spacing w:after="0" w:line="240" w:lineRule="auto"/>
      </w:pPr>
      <w:r>
        <w:separator/>
      </w:r>
    </w:p>
  </w:endnote>
  <w:endnote w:type="continuationSeparator" w:id="0">
    <w:p w:rsidR="00B6436B" w:rsidRDefault="00B6436B" w:rsidP="0074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436948"/>
      <w:docPartObj>
        <w:docPartGallery w:val="Page Numbers (Bottom of Page)"/>
        <w:docPartUnique/>
      </w:docPartObj>
    </w:sdtPr>
    <w:sdtEndPr>
      <w:rPr>
        <w:color w:val="808080" w:themeColor="background1" w:themeShade="80"/>
        <w:spacing w:val="60"/>
      </w:rPr>
    </w:sdtEndPr>
    <w:sdtContent>
      <w:p w:rsidR="00A35837" w:rsidRDefault="00D80DE7">
        <w:pPr>
          <w:pStyle w:val="Footer"/>
          <w:pBdr>
            <w:top w:val="single" w:sz="4" w:space="1" w:color="D9D9D9" w:themeColor="background1" w:themeShade="D9"/>
          </w:pBdr>
          <w:rPr>
            <w:b/>
            <w:bCs/>
          </w:rPr>
        </w:pPr>
        <w:r>
          <w:fldChar w:fldCharType="begin"/>
        </w:r>
        <w:r w:rsidR="00A35837">
          <w:instrText xml:space="preserve"> PAGE   \* MERGEFORMAT </w:instrText>
        </w:r>
        <w:r>
          <w:fldChar w:fldCharType="separate"/>
        </w:r>
        <w:r w:rsidR="005D2AD9" w:rsidRPr="005D2AD9">
          <w:rPr>
            <w:b/>
            <w:bCs/>
            <w:noProof/>
          </w:rPr>
          <w:t>14</w:t>
        </w:r>
        <w:r>
          <w:rPr>
            <w:b/>
            <w:bCs/>
            <w:noProof/>
          </w:rPr>
          <w:fldChar w:fldCharType="end"/>
        </w:r>
        <w:r w:rsidR="00A35837">
          <w:rPr>
            <w:b/>
            <w:bCs/>
          </w:rPr>
          <w:t xml:space="preserve"> | </w:t>
        </w:r>
        <w:r w:rsidR="00A35837">
          <w:rPr>
            <w:color w:val="808080" w:themeColor="background1" w:themeShade="80"/>
            <w:spacing w:val="60"/>
          </w:rPr>
          <w:t>Page</w:t>
        </w:r>
      </w:p>
    </w:sdtContent>
  </w:sdt>
  <w:p w:rsidR="00A35837" w:rsidRDefault="00A35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876881"/>
      <w:docPartObj>
        <w:docPartGallery w:val="Page Numbers (Bottom of Page)"/>
        <w:docPartUnique/>
      </w:docPartObj>
    </w:sdtPr>
    <w:sdtEndPr>
      <w:rPr>
        <w:color w:val="808080" w:themeColor="background1" w:themeShade="80"/>
        <w:spacing w:val="60"/>
      </w:rPr>
    </w:sdtEndPr>
    <w:sdtContent>
      <w:p w:rsidR="00275C0D" w:rsidRDefault="00D80DE7">
        <w:pPr>
          <w:pStyle w:val="Footer"/>
          <w:pBdr>
            <w:top w:val="single" w:sz="4" w:space="1" w:color="D9D9D9" w:themeColor="background1" w:themeShade="D9"/>
          </w:pBdr>
          <w:rPr>
            <w:b/>
            <w:bCs/>
          </w:rPr>
        </w:pPr>
        <w:r>
          <w:fldChar w:fldCharType="begin"/>
        </w:r>
        <w:r w:rsidR="00275C0D">
          <w:instrText xml:space="preserve"> PAGE   \* MERGEFORMAT </w:instrText>
        </w:r>
        <w:r>
          <w:fldChar w:fldCharType="separate"/>
        </w:r>
        <w:r w:rsidR="005D2AD9" w:rsidRPr="005D2AD9">
          <w:rPr>
            <w:b/>
            <w:bCs/>
            <w:noProof/>
          </w:rPr>
          <w:t>18</w:t>
        </w:r>
        <w:r>
          <w:rPr>
            <w:b/>
            <w:bCs/>
            <w:noProof/>
          </w:rPr>
          <w:fldChar w:fldCharType="end"/>
        </w:r>
        <w:r w:rsidR="00275C0D">
          <w:rPr>
            <w:b/>
            <w:bCs/>
          </w:rPr>
          <w:t xml:space="preserve"> | </w:t>
        </w:r>
        <w:r w:rsidR="00275C0D">
          <w:rPr>
            <w:color w:val="808080" w:themeColor="background1" w:themeShade="80"/>
            <w:spacing w:val="60"/>
          </w:rPr>
          <w:t>Page</w:t>
        </w:r>
      </w:p>
    </w:sdtContent>
  </w:sdt>
  <w:p w:rsidR="00275C0D" w:rsidRDefault="00275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6B" w:rsidRDefault="00B6436B" w:rsidP="007409CD">
      <w:pPr>
        <w:spacing w:after="0" w:line="240" w:lineRule="auto"/>
      </w:pPr>
      <w:r>
        <w:separator/>
      </w:r>
    </w:p>
  </w:footnote>
  <w:footnote w:type="continuationSeparator" w:id="0">
    <w:p w:rsidR="00B6436B" w:rsidRDefault="00B6436B" w:rsidP="007409CD">
      <w:pPr>
        <w:spacing w:after="0" w:line="240" w:lineRule="auto"/>
      </w:pPr>
      <w:r>
        <w:continuationSeparator/>
      </w:r>
    </w:p>
  </w:footnote>
  <w:footnote w:id="1">
    <w:p w:rsidR="000C2740" w:rsidRDefault="000C2740">
      <w:pPr>
        <w:pStyle w:val="FootnoteText"/>
      </w:pPr>
      <w:r>
        <w:rPr>
          <w:rStyle w:val="FootnoteReference"/>
        </w:rPr>
        <w:footnoteRef/>
      </w:r>
      <w:r>
        <w:t xml:space="preserve"> PPPs can cover a wide range of partnership forms, which are outlined in </w:t>
      </w:r>
      <w:r w:rsidRPr="00940837">
        <w:rPr>
          <w:i/>
        </w:rPr>
        <w:t xml:space="preserve">Note </w:t>
      </w:r>
      <w:r w:rsidR="00B6436B">
        <w:fldChar w:fldCharType="begin"/>
      </w:r>
      <w:r w:rsidR="00B6436B">
        <w:instrText xml:space="preserve"> REF _R</w:instrText>
      </w:r>
      <w:r w:rsidR="00B6436B">
        <w:instrText xml:space="preserve">ef349729761 \r \h  \* MERGEFORMAT </w:instrText>
      </w:r>
      <w:r w:rsidR="00B6436B">
        <w:fldChar w:fldCharType="separate"/>
      </w:r>
      <w:r w:rsidRPr="00940837">
        <w:t>1</w:t>
      </w:r>
      <w:r w:rsidR="00B6436B">
        <w:fldChar w:fldCharType="end"/>
      </w:r>
      <w:r w:rsidRPr="00A25B07">
        <w:t xml:space="preserve"> </w:t>
      </w:r>
      <w:r>
        <w:t>in Appendix 1</w:t>
      </w:r>
    </w:p>
  </w:footnote>
  <w:footnote w:id="2">
    <w:p w:rsidR="000C2740" w:rsidRDefault="000C2740">
      <w:pPr>
        <w:pStyle w:val="FootnoteText"/>
      </w:pPr>
      <w:r>
        <w:rPr>
          <w:rStyle w:val="FootnoteReference"/>
        </w:rPr>
        <w:footnoteRef/>
      </w:r>
      <w:r>
        <w:t xml:space="preserve"> The Public Private Partnerships Bill 2012</w:t>
      </w:r>
    </w:p>
  </w:footnote>
  <w:footnote w:id="3">
    <w:p w:rsidR="000C2740" w:rsidRDefault="000C2740">
      <w:pPr>
        <w:pStyle w:val="FootnoteText"/>
      </w:pPr>
      <w:r>
        <w:rPr>
          <w:rStyle w:val="FootnoteReference"/>
        </w:rPr>
        <w:footnoteRef/>
      </w:r>
      <w:r>
        <w:t xml:space="preserve"> A P</w:t>
      </w:r>
      <w:r w:rsidRPr="005221C9">
        <w:t xml:space="preserve">roponent means any person, whether natural or juristic, that submits an unsolicited proposal to </w:t>
      </w:r>
      <w:r>
        <w:t>MoWT</w:t>
      </w:r>
    </w:p>
  </w:footnote>
  <w:footnote w:id="4">
    <w:p w:rsidR="000C2740" w:rsidRDefault="000C2740" w:rsidP="009F048F">
      <w:pPr>
        <w:pStyle w:val="ListParagraph"/>
        <w:ind w:left="0"/>
      </w:pPr>
      <w:r>
        <w:rPr>
          <w:rStyle w:val="FootnoteReference"/>
        </w:rPr>
        <w:footnoteRef/>
      </w:r>
      <w:r>
        <w:t xml:space="preserve"> </w:t>
      </w:r>
      <w:r w:rsidRPr="00B26FF7">
        <w:rPr>
          <w:sz w:val="20"/>
        </w:rPr>
        <w:t>Guide for Private Sector Participants on the Assessment and Evaluation of Unsolicited Proposals</w:t>
      </w:r>
    </w:p>
    <w:p w:rsidR="000C2740" w:rsidRDefault="000C2740">
      <w:pPr>
        <w:pStyle w:val="FootnoteText"/>
      </w:pPr>
    </w:p>
  </w:footnote>
  <w:footnote w:id="5">
    <w:p w:rsidR="000C2740" w:rsidRDefault="000C2740">
      <w:pPr>
        <w:pStyle w:val="FootnoteText"/>
      </w:pPr>
      <w:r>
        <w:rPr>
          <w:rStyle w:val="FootnoteReference"/>
        </w:rPr>
        <w:footnoteRef/>
      </w:r>
      <w:r>
        <w:t xml:space="preserve"> PPDA Act, 2003, Para 85(1)</w:t>
      </w:r>
    </w:p>
  </w:footnote>
  <w:footnote w:id="6">
    <w:p w:rsidR="000C2740" w:rsidRDefault="000C2740">
      <w:pPr>
        <w:pStyle w:val="FootnoteText"/>
      </w:pPr>
      <w:r>
        <w:rPr>
          <w:rStyle w:val="FootnoteReference"/>
        </w:rPr>
        <w:footnoteRef/>
      </w:r>
      <w:r>
        <w:t xml:space="preserve"> PPP Bill, Para 24(3)</w:t>
      </w:r>
    </w:p>
  </w:footnote>
  <w:footnote w:id="7">
    <w:p w:rsidR="000C2740" w:rsidRDefault="000C2740">
      <w:pPr>
        <w:pStyle w:val="FootnoteText"/>
      </w:pPr>
      <w:r>
        <w:rPr>
          <w:rStyle w:val="FootnoteReference"/>
        </w:rPr>
        <w:footnoteRef/>
      </w:r>
      <w:r>
        <w:t xml:space="preserve"> PPDA Act, 2003, Para 85(2)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2D6"/>
    <w:multiLevelType w:val="hybridMultilevel"/>
    <w:tmpl w:val="D56E77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C7BAF"/>
    <w:multiLevelType w:val="hybridMultilevel"/>
    <w:tmpl w:val="997A89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9F1070"/>
    <w:multiLevelType w:val="hybridMultilevel"/>
    <w:tmpl w:val="8B28E3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F221E1"/>
    <w:multiLevelType w:val="hybridMultilevel"/>
    <w:tmpl w:val="E3B41F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F0E99"/>
    <w:multiLevelType w:val="hybridMultilevel"/>
    <w:tmpl w:val="7712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434006"/>
    <w:multiLevelType w:val="hybridMultilevel"/>
    <w:tmpl w:val="D03893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AD208D"/>
    <w:multiLevelType w:val="hybridMultilevel"/>
    <w:tmpl w:val="1154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331486"/>
    <w:multiLevelType w:val="hybridMultilevel"/>
    <w:tmpl w:val="3552F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FE3ABA"/>
    <w:multiLevelType w:val="hybridMultilevel"/>
    <w:tmpl w:val="55F62DE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E2419F4"/>
    <w:multiLevelType w:val="hybridMultilevel"/>
    <w:tmpl w:val="D0DE7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D54EB4"/>
    <w:multiLevelType w:val="hybridMultilevel"/>
    <w:tmpl w:val="2352688A"/>
    <w:lvl w:ilvl="0" w:tplc="AE267EF2">
      <w:start w:val="1"/>
      <w:numFmt w:val="lowerLetter"/>
      <w:lvlText w:val="%1."/>
      <w:lvlJc w:val="left"/>
      <w:pPr>
        <w:ind w:left="144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nsid w:val="44F94D38"/>
    <w:multiLevelType w:val="hybridMultilevel"/>
    <w:tmpl w:val="E7EAA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BF0DA7"/>
    <w:multiLevelType w:val="hybridMultilevel"/>
    <w:tmpl w:val="E89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4B1B95"/>
    <w:multiLevelType w:val="hybridMultilevel"/>
    <w:tmpl w:val="E974CDDC"/>
    <w:lvl w:ilvl="0" w:tplc="1C7C488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B1163A0A">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C463391"/>
    <w:multiLevelType w:val="hybridMultilevel"/>
    <w:tmpl w:val="EC3EA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80704"/>
    <w:multiLevelType w:val="hybridMultilevel"/>
    <w:tmpl w:val="89AC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B41CA1"/>
    <w:multiLevelType w:val="hybridMultilevel"/>
    <w:tmpl w:val="E7EAA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1E25C9F"/>
    <w:multiLevelType w:val="hybridMultilevel"/>
    <w:tmpl w:val="27320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83025E"/>
    <w:multiLevelType w:val="hybridMultilevel"/>
    <w:tmpl w:val="FC20FCF6"/>
    <w:lvl w:ilvl="0" w:tplc="2FCAB9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19DC"/>
    <w:multiLevelType w:val="hybridMultilevel"/>
    <w:tmpl w:val="91887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9A5BCE"/>
    <w:multiLevelType w:val="hybridMultilevel"/>
    <w:tmpl w:val="498CD7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0176BE"/>
    <w:multiLevelType w:val="hybridMultilevel"/>
    <w:tmpl w:val="BB3A0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C7485D"/>
    <w:multiLevelType w:val="hybridMultilevel"/>
    <w:tmpl w:val="23C0CF4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B1163A0A">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710065DB"/>
    <w:multiLevelType w:val="hybridMultilevel"/>
    <w:tmpl w:val="B9FA5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806731"/>
    <w:multiLevelType w:val="hybridMultilevel"/>
    <w:tmpl w:val="0A745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7F731C"/>
    <w:multiLevelType w:val="hybridMultilevel"/>
    <w:tmpl w:val="98E4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2"/>
  </w:num>
  <w:num w:numId="4">
    <w:abstractNumId w:val="16"/>
  </w:num>
  <w:num w:numId="5">
    <w:abstractNumId w:val="0"/>
  </w:num>
  <w:num w:numId="6">
    <w:abstractNumId w:val="23"/>
  </w:num>
  <w:num w:numId="7">
    <w:abstractNumId w:val="4"/>
  </w:num>
  <w:num w:numId="8">
    <w:abstractNumId w:val="11"/>
  </w:num>
  <w:num w:numId="9">
    <w:abstractNumId w:val="5"/>
  </w:num>
  <w:num w:numId="10">
    <w:abstractNumId w:val="18"/>
  </w:num>
  <w:num w:numId="11">
    <w:abstractNumId w:val="19"/>
  </w:num>
  <w:num w:numId="12">
    <w:abstractNumId w:val="6"/>
  </w:num>
  <w:num w:numId="13">
    <w:abstractNumId w:val="21"/>
  </w:num>
  <w:num w:numId="14">
    <w:abstractNumId w:val="24"/>
  </w:num>
  <w:num w:numId="15">
    <w:abstractNumId w:val="14"/>
  </w:num>
  <w:num w:numId="16">
    <w:abstractNumId w:val="1"/>
  </w:num>
  <w:num w:numId="17">
    <w:abstractNumId w:val="20"/>
  </w:num>
  <w:num w:numId="18">
    <w:abstractNumId w:val="7"/>
  </w:num>
  <w:num w:numId="19">
    <w:abstractNumId w:val="9"/>
  </w:num>
  <w:num w:numId="20">
    <w:abstractNumId w:val="3"/>
  </w:num>
  <w:num w:numId="21">
    <w:abstractNumId w:val="15"/>
  </w:num>
  <w:num w:numId="22">
    <w:abstractNumId w:val="2"/>
  </w:num>
  <w:num w:numId="23">
    <w:abstractNumId w:val="8"/>
  </w:num>
  <w:num w:numId="24">
    <w:abstractNumId w:val="22"/>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1222"/>
    <w:rsid w:val="00004CE7"/>
    <w:rsid w:val="000075EB"/>
    <w:rsid w:val="00010353"/>
    <w:rsid w:val="0001121F"/>
    <w:rsid w:val="00012926"/>
    <w:rsid w:val="00012D10"/>
    <w:rsid w:val="000155CC"/>
    <w:rsid w:val="00015C60"/>
    <w:rsid w:val="000167EF"/>
    <w:rsid w:val="00030A14"/>
    <w:rsid w:val="000331DB"/>
    <w:rsid w:val="00036635"/>
    <w:rsid w:val="000373E2"/>
    <w:rsid w:val="000406A0"/>
    <w:rsid w:val="0004286D"/>
    <w:rsid w:val="00050A95"/>
    <w:rsid w:val="00052174"/>
    <w:rsid w:val="000522FA"/>
    <w:rsid w:val="00053779"/>
    <w:rsid w:val="0005557F"/>
    <w:rsid w:val="00056FAE"/>
    <w:rsid w:val="0006310C"/>
    <w:rsid w:val="00064ABF"/>
    <w:rsid w:val="00070001"/>
    <w:rsid w:val="000706DD"/>
    <w:rsid w:val="00081396"/>
    <w:rsid w:val="00083852"/>
    <w:rsid w:val="000862BC"/>
    <w:rsid w:val="00086614"/>
    <w:rsid w:val="0008764C"/>
    <w:rsid w:val="000906D5"/>
    <w:rsid w:val="00090BC0"/>
    <w:rsid w:val="00091CF1"/>
    <w:rsid w:val="000920C6"/>
    <w:rsid w:val="0009268F"/>
    <w:rsid w:val="000931FD"/>
    <w:rsid w:val="0009485A"/>
    <w:rsid w:val="00096E3D"/>
    <w:rsid w:val="000A2533"/>
    <w:rsid w:val="000A6E1E"/>
    <w:rsid w:val="000A72BF"/>
    <w:rsid w:val="000A7566"/>
    <w:rsid w:val="000B6A75"/>
    <w:rsid w:val="000C0240"/>
    <w:rsid w:val="000C2740"/>
    <w:rsid w:val="000C7B2A"/>
    <w:rsid w:val="000D0157"/>
    <w:rsid w:val="000D2812"/>
    <w:rsid w:val="000D5995"/>
    <w:rsid w:val="000D5E1F"/>
    <w:rsid w:val="000D6057"/>
    <w:rsid w:val="000D7925"/>
    <w:rsid w:val="000E0F87"/>
    <w:rsid w:val="000E54D3"/>
    <w:rsid w:val="000F145D"/>
    <w:rsid w:val="000F1668"/>
    <w:rsid w:val="000F4F0F"/>
    <w:rsid w:val="000F5D01"/>
    <w:rsid w:val="000F6798"/>
    <w:rsid w:val="001018B6"/>
    <w:rsid w:val="001027A8"/>
    <w:rsid w:val="00103847"/>
    <w:rsid w:val="001040AA"/>
    <w:rsid w:val="00105DF1"/>
    <w:rsid w:val="0010605D"/>
    <w:rsid w:val="00110028"/>
    <w:rsid w:val="00115DC5"/>
    <w:rsid w:val="00115F99"/>
    <w:rsid w:val="00124683"/>
    <w:rsid w:val="0012641C"/>
    <w:rsid w:val="0012706F"/>
    <w:rsid w:val="001356CA"/>
    <w:rsid w:val="00136E0B"/>
    <w:rsid w:val="0014149F"/>
    <w:rsid w:val="00141876"/>
    <w:rsid w:val="0014276C"/>
    <w:rsid w:val="0014608D"/>
    <w:rsid w:val="001468B8"/>
    <w:rsid w:val="0014703A"/>
    <w:rsid w:val="00154689"/>
    <w:rsid w:val="001552DA"/>
    <w:rsid w:val="001629E0"/>
    <w:rsid w:val="001666EC"/>
    <w:rsid w:val="00170ED5"/>
    <w:rsid w:val="00171A8C"/>
    <w:rsid w:val="00172136"/>
    <w:rsid w:val="00172E5B"/>
    <w:rsid w:val="00174661"/>
    <w:rsid w:val="001769E4"/>
    <w:rsid w:val="001804AF"/>
    <w:rsid w:val="00182C8C"/>
    <w:rsid w:val="001846BA"/>
    <w:rsid w:val="001918AA"/>
    <w:rsid w:val="00193991"/>
    <w:rsid w:val="0019409F"/>
    <w:rsid w:val="0019636C"/>
    <w:rsid w:val="0019660A"/>
    <w:rsid w:val="001A39AA"/>
    <w:rsid w:val="001A506F"/>
    <w:rsid w:val="001A5D05"/>
    <w:rsid w:val="001A669A"/>
    <w:rsid w:val="001A6964"/>
    <w:rsid w:val="001A797D"/>
    <w:rsid w:val="001B241D"/>
    <w:rsid w:val="001B2C0A"/>
    <w:rsid w:val="001B6D9B"/>
    <w:rsid w:val="001C65BC"/>
    <w:rsid w:val="001C6AB0"/>
    <w:rsid w:val="001C7EC4"/>
    <w:rsid w:val="001D737C"/>
    <w:rsid w:val="001D7A23"/>
    <w:rsid w:val="001D7C16"/>
    <w:rsid w:val="001E06E7"/>
    <w:rsid w:val="001E0F07"/>
    <w:rsid w:val="001E7AF1"/>
    <w:rsid w:val="001F0CC4"/>
    <w:rsid w:val="001F3238"/>
    <w:rsid w:val="001F619B"/>
    <w:rsid w:val="001F6360"/>
    <w:rsid w:val="001F6AA4"/>
    <w:rsid w:val="002019CB"/>
    <w:rsid w:val="0020391A"/>
    <w:rsid w:val="00203A6C"/>
    <w:rsid w:val="00205C57"/>
    <w:rsid w:val="002120C7"/>
    <w:rsid w:val="00216487"/>
    <w:rsid w:val="00221503"/>
    <w:rsid w:val="0022352F"/>
    <w:rsid w:val="002256CC"/>
    <w:rsid w:val="002276AC"/>
    <w:rsid w:val="00231491"/>
    <w:rsid w:val="00234271"/>
    <w:rsid w:val="0023532C"/>
    <w:rsid w:val="002359B4"/>
    <w:rsid w:val="00236604"/>
    <w:rsid w:val="00242089"/>
    <w:rsid w:val="00244A73"/>
    <w:rsid w:val="002462A5"/>
    <w:rsid w:val="00247356"/>
    <w:rsid w:val="00247EDE"/>
    <w:rsid w:val="002511A1"/>
    <w:rsid w:val="00255E92"/>
    <w:rsid w:val="002657A2"/>
    <w:rsid w:val="00265942"/>
    <w:rsid w:val="00270BD3"/>
    <w:rsid w:val="0027377B"/>
    <w:rsid w:val="00275C0D"/>
    <w:rsid w:val="002800BA"/>
    <w:rsid w:val="002814CC"/>
    <w:rsid w:val="00284237"/>
    <w:rsid w:val="00286CF4"/>
    <w:rsid w:val="00287F84"/>
    <w:rsid w:val="002913F8"/>
    <w:rsid w:val="002924C7"/>
    <w:rsid w:val="002949C0"/>
    <w:rsid w:val="00295992"/>
    <w:rsid w:val="0029618F"/>
    <w:rsid w:val="0029626C"/>
    <w:rsid w:val="00297440"/>
    <w:rsid w:val="002A5988"/>
    <w:rsid w:val="002A6AC4"/>
    <w:rsid w:val="002B0E7C"/>
    <w:rsid w:val="002B4300"/>
    <w:rsid w:val="002B6267"/>
    <w:rsid w:val="002B73A4"/>
    <w:rsid w:val="002C0751"/>
    <w:rsid w:val="002C2970"/>
    <w:rsid w:val="002C3894"/>
    <w:rsid w:val="002C43A3"/>
    <w:rsid w:val="002C50DD"/>
    <w:rsid w:val="002C5306"/>
    <w:rsid w:val="002C5EE7"/>
    <w:rsid w:val="002C6146"/>
    <w:rsid w:val="002C6514"/>
    <w:rsid w:val="002C6559"/>
    <w:rsid w:val="002D11F1"/>
    <w:rsid w:val="002D18F5"/>
    <w:rsid w:val="002D1C3E"/>
    <w:rsid w:val="002D1C6E"/>
    <w:rsid w:val="002D2AD6"/>
    <w:rsid w:val="002D30E0"/>
    <w:rsid w:val="002D3428"/>
    <w:rsid w:val="002D56D2"/>
    <w:rsid w:val="002D6E7F"/>
    <w:rsid w:val="002D7265"/>
    <w:rsid w:val="002E00DA"/>
    <w:rsid w:val="002E36C1"/>
    <w:rsid w:val="002E54B3"/>
    <w:rsid w:val="002E77F4"/>
    <w:rsid w:val="002E79E6"/>
    <w:rsid w:val="002F32B6"/>
    <w:rsid w:val="002F6B4D"/>
    <w:rsid w:val="002F70C3"/>
    <w:rsid w:val="0030018E"/>
    <w:rsid w:val="003041ED"/>
    <w:rsid w:val="00304369"/>
    <w:rsid w:val="0030475F"/>
    <w:rsid w:val="003128BD"/>
    <w:rsid w:val="00313D33"/>
    <w:rsid w:val="00316AA1"/>
    <w:rsid w:val="00321ACC"/>
    <w:rsid w:val="00323EBA"/>
    <w:rsid w:val="0032505B"/>
    <w:rsid w:val="00326305"/>
    <w:rsid w:val="0032767A"/>
    <w:rsid w:val="00330CBB"/>
    <w:rsid w:val="003319D8"/>
    <w:rsid w:val="00332FDD"/>
    <w:rsid w:val="00333439"/>
    <w:rsid w:val="0033445C"/>
    <w:rsid w:val="00335581"/>
    <w:rsid w:val="0033569E"/>
    <w:rsid w:val="003370A1"/>
    <w:rsid w:val="00347D0B"/>
    <w:rsid w:val="0035094A"/>
    <w:rsid w:val="00360918"/>
    <w:rsid w:val="003613A2"/>
    <w:rsid w:val="003613AD"/>
    <w:rsid w:val="003643E6"/>
    <w:rsid w:val="00366F23"/>
    <w:rsid w:val="003714F0"/>
    <w:rsid w:val="00377136"/>
    <w:rsid w:val="00383F16"/>
    <w:rsid w:val="00390674"/>
    <w:rsid w:val="00391DEA"/>
    <w:rsid w:val="00392648"/>
    <w:rsid w:val="00397E20"/>
    <w:rsid w:val="003A0AA2"/>
    <w:rsid w:val="003A0E7F"/>
    <w:rsid w:val="003A4658"/>
    <w:rsid w:val="003A4DE1"/>
    <w:rsid w:val="003B55C5"/>
    <w:rsid w:val="003C1880"/>
    <w:rsid w:val="003C7069"/>
    <w:rsid w:val="003D0FC7"/>
    <w:rsid w:val="003E039B"/>
    <w:rsid w:val="003E2ABB"/>
    <w:rsid w:val="003E5319"/>
    <w:rsid w:val="003E7DBC"/>
    <w:rsid w:val="003F6DC1"/>
    <w:rsid w:val="003F7B8B"/>
    <w:rsid w:val="003F7C8F"/>
    <w:rsid w:val="00400120"/>
    <w:rsid w:val="004010D2"/>
    <w:rsid w:val="004048C6"/>
    <w:rsid w:val="00411B00"/>
    <w:rsid w:val="00415A51"/>
    <w:rsid w:val="00417F95"/>
    <w:rsid w:val="00420BA5"/>
    <w:rsid w:val="0043006C"/>
    <w:rsid w:val="004306E4"/>
    <w:rsid w:val="00433920"/>
    <w:rsid w:val="004364AD"/>
    <w:rsid w:val="00440E6C"/>
    <w:rsid w:val="0044396C"/>
    <w:rsid w:val="00444025"/>
    <w:rsid w:val="004449BD"/>
    <w:rsid w:val="004506FB"/>
    <w:rsid w:val="00454F5E"/>
    <w:rsid w:val="004609C5"/>
    <w:rsid w:val="00462270"/>
    <w:rsid w:val="004630AA"/>
    <w:rsid w:val="00465220"/>
    <w:rsid w:val="00467973"/>
    <w:rsid w:val="0047086B"/>
    <w:rsid w:val="0047250A"/>
    <w:rsid w:val="0047365F"/>
    <w:rsid w:val="00474980"/>
    <w:rsid w:val="00477A4F"/>
    <w:rsid w:val="0048194F"/>
    <w:rsid w:val="0048494B"/>
    <w:rsid w:val="00496319"/>
    <w:rsid w:val="004A0B4A"/>
    <w:rsid w:val="004A16D1"/>
    <w:rsid w:val="004A2AF4"/>
    <w:rsid w:val="004A2E67"/>
    <w:rsid w:val="004A772B"/>
    <w:rsid w:val="004B0A91"/>
    <w:rsid w:val="004B449E"/>
    <w:rsid w:val="004B45E9"/>
    <w:rsid w:val="004B469F"/>
    <w:rsid w:val="004B4A77"/>
    <w:rsid w:val="004B5FAD"/>
    <w:rsid w:val="004C01F8"/>
    <w:rsid w:val="004C07AD"/>
    <w:rsid w:val="004C15D0"/>
    <w:rsid w:val="004C17CA"/>
    <w:rsid w:val="004C197C"/>
    <w:rsid w:val="004C526E"/>
    <w:rsid w:val="004C6C58"/>
    <w:rsid w:val="004C7CF0"/>
    <w:rsid w:val="004D1FA3"/>
    <w:rsid w:val="004D33E1"/>
    <w:rsid w:val="004D3686"/>
    <w:rsid w:val="004D38A5"/>
    <w:rsid w:val="004D77F6"/>
    <w:rsid w:val="004E0259"/>
    <w:rsid w:val="004E171A"/>
    <w:rsid w:val="004E31E4"/>
    <w:rsid w:val="004E742E"/>
    <w:rsid w:val="004E795F"/>
    <w:rsid w:val="004F013B"/>
    <w:rsid w:val="004F1912"/>
    <w:rsid w:val="004F4356"/>
    <w:rsid w:val="00501BD3"/>
    <w:rsid w:val="00502568"/>
    <w:rsid w:val="0050336B"/>
    <w:rsid w:val="0050563F"/>
    <w:rsid w:val="00505693"/>
    <w:rsid w:val="005108AB"/>
    <w:rsid w:val="00510F6A"/>
    <w:rsid w:val="0051147B"/>
    <w:rsid w:val="00511818"/>
    <w:rsid w:val="0051188D"/>
    <w:rsid w:val="0051192C"/>
    <w:rsid w:val="00511D16"/>
    <w:rsid w:val="00514A21"/>
    <w:rsid w:val="005221C9"/>
    <w:rsid w:val="00525747"/>
    <w:rsid w:val="00530D9D"/>
    <w:rsid w:val="005314BC"/>
    <w:rsid w:val="00531A46"/>
    <w:rsid w:val="00531C16"/>
    <w:rsid w:val="00532931"/>
    <w:rsid w:val="00533634"/>
    <w:rsid w:val="0053391F"/>
    <w:rsid w:val="00534935"/>
    <w:rsid w:val="005417D0"/>
    <w:rsid w:val="00543D0F"/>
    <w:rsid w:val="0054463D"/>
    <w:rsid w:val="00545F46"/>
    <w:rsid w:val="00554444"/>
    <w:rsid w:val="005552F1"/>
    <w:rsid w:val="00560C31"/>
    <w:rsid w:val="005709F6"/>
    <w:rsid w:val="005727F4"/>
    <w:rsid w:val="00575485"/>
    <w:rsid w:val="005771B9"/>
    <w:rsid w:val="005829DE"/>
    <w:rsid w:val="00583ADB"/>
    <w:rsid w:val="005902B2"/>
    <w:rsid w:val="005906BE"/>
    <w:rsid w:val="00592417"/>
    <w:rsid w:val="005931C8"/>
    <w:rsid w:val="00594791"/>
    <w:rsid w:val="00594C69"/>
    <w:rsid w:val="005A1E45"/>
    <w:rsid w:val="005A5A21"/>
    <w:rsid w:val="005B2684"/>
    <w:rsid w:val="005B2D5A"/>
    <w:rsid w:val="005B4628"/>
    <w:rsid w:val="005B53F6"/>
    <w:rsid w:val="005B5A4A"/>
    <w:rsid w:val="005C0AFF"/>
    <w:rsid w:val="005C1FC8"/>
    <w:rsid w:val="005C2989"/>
    <w:rsid w:val="005C6AC2"/>
    <w:rsid w:val="005D2AD9"/>
    <w:rsid w:val="005D4DDA"/>
    <w:rsid w:val="005D6EA3"/>
    <w:rsid w:val="005D73A8"/>
    <w:rsid w:val="005D7B99"/>
    <w:rsid w:val="005E0BE0"/>
    <w:rsid w:val="005E2B66"/>
    <w:rsid w:val="005E5011"/>
    <w:rsid w:val="005F24CA"/>
    <w:rsid w:val="005F559A"/>
    <w:rsid w:val="005F5880"/>
    <w:rsid w:val="005F5A96"/>
    <w:rsid w:val="005F5ADE"/>
    <w:rsid w:val="005F679E"/>
    <w:rsid w:val="006000E7"/>
    <w:rsid w:val="00600C04"/>
    <w:rsid w:val="00602CFD"/>
    <w:rsid w:val="006032E5"/>
    <w:rsid w:val="006034A6"/>
    <w:rsid w:val="00603A11"/>
    <w:rsid w:val="006052DE"/>
    <w:rsid w:val="0060593A"/>
    <w:rsid w:val="00605EFE"/>
    <w:rsid w:val="00606BE1"/>
    <w:rsid w:val="006076A8"/>
    <w:rsid w:val="00610087"/>
    <w:rsid w:val="00610493"/>
    <w:rsid w:val="0061250B"/>
    <w:rsid w:val="00612CF8"/>
    <w:rsid w:val="00612D72"/>
    <w:rsid w:val="00621EF0"/>
    <w:rsid w:val="00623EF6"/>
    <w:rsid w:val="00624B26"/>
    <w:rsid w:val="00626F86"/>
    <w:rsid w:val="00627487"/>
    <w:rsid w:val="00632523"/>
    <w:rsid w:val="0063616F"/>
    <w:rsid w:val="006365BC"/>
    <w:rsid w:val="006370F4"/>
    <w:rsid w:val="00637FDD"/>
    <w:rsid w:val="006402CF"/>
    <w:rsid w:val="00641954"/>
    <w:rsid w:val="00642B04"/>
    <w:rsid w:val="006434EA"/>
    <w:rsid w:val="006436AE"/>
    <w:rsid w:val="00644D8A"/>
    <w:rsid w:val="00646A50"/>
    <w:rsid w:val="00646FE1"/>
    <w:rsid w:val="00652D20"/>
    <w:rsid w:val="00660C65"/>
    <w:rsid w:val="00664228"/>
    <w:rsid w:val="00667187"/>
    <w:rsid w:val="0067139D"/>
    <w:rsid w:val="00676F70"/>
    <w:rsid w:val="00680EC3"/>
    <w:rsid w:val="0068533E"/>
    <w:rsid w:val="00686CAB"/>
    <w:rsid w:val="00690B87"/>
    <w:rsid w:val="0069389E"/>
    <w:rsid w:val="00695127"/>
    <w:rsid w:val="00695B0C"/>
    <w:rsid w:val="00695C6B"/>
    <w:rsid w:val="006A6EDE"/>
    <w:rsid w:val="006A7896"/>
    <w:rsid w:val="006A78ED"/>
    <w:rsid w:val="006A7E2F"/>
    <w:rsid w:val="006B15E0"/>
    <w:rsid w:val="006B3046"/>
    <w:rsid w:val="006B4072"/>
    <w:rsid w:val="006B77BE"/>
    <w:rsid w:val="006C06E9"/>
    <w:rsid w:val="006C114B"/>
    <w:rsid w:val="006C167D"/>
    <w:rsid w:val="006C1904"/>
    <w:rsid w:val="006C1D09"/>
    <w:rsid w:val="006C51F0"/>
    <w:rsid w:val="006C5A28"/>
    <w:rsid w:val="006C7D2E"/>
    <w:rsid w:val="006D084F"/>
    <w:rsid w:val="006D1222"/>
    <w:rsid w:val="006D1587"/>
    <w:rsid w:val="006D164C"/>
    <w:rsid w:val="006D203E"/>
    <w:rsid w:val="006D7B00"/>
    <w:rsid w:val="006D7FF3"/>
    <w:rsid w:val="006E0056"/>
    <w:rsid w:val="006E445E"/>
    <w:rsid w:val="006E5028"/>
    <w:rsid w:val="006E5971"/>
    <w:rsid w:val="006E61BF"/>
    <w:rsid w:val="006E630F"/>
    <w:rsid w:val="006E67A4"/>
    <w:rsid w:val="006E6B42"/>
    <w:rsid w:val="006F5E6A"/>
    <w:rsid w:val="00701E20"/>
    <w:rsid w:val="0070388B"/>
    <w:rsid w:val="007038C7"/>
    <w:rsid w:val="00703B80"/>
    <w:rsid w:val="0070516E"/>
    <w:rsid w:val="00705C16"/>
    <w:rsid w:val="00706A30"/>
    <w:rsid w:val="00711D36"/>
    <w:rsid w:val="00712922"/>
    <w:rsid w:val="00715EB9"/>
    <w:rsid w:val="007170BC"/>
    <w:rsid w:val="007236CE"/>
    <w:rsid w:val="007236FF"/>
    <w:rsid w:val="00732624"/>
    <w:rsid w:val="00733460"/>
    <w:rsid w:val="00735182"/>
    <w:rsid w:val="007409CD"/>
    <w:rsid w:val="00746E1F"/>
    <w:rsid w:val="0075175F"/>
    <w:rsid w:val="0075534B"/>
    <w:rsid w:val="00760F73"/>
    <w:rsid w:val="00762580"/>
    <w:rsid w:val="007633A1"/>
    <w:rsid w:val="00767893"/>
    <w:rsid w:val="0077067E"/>
    <w:rsid w:val="00772ACB"/>
    <w:rsid w:val="00774E85"/>
    <w:rsid w:val="0077775A"/>
    <w:rsid w:val="00777BC2"/>
    <w:rsid w:val="00777C0E"/>
    <w:rsid w:val="00784B9D"/>
    <w:rsid w:val="00785179"/>
    <w:rsid w:val="0078619A"/>
    <w:rsid w:val="0079633D"/>
    <w:rsid w:val="00796BF2"/>
    <w:rsid w:val="007A0A75"/>
    <w:rsid w:val="007A48CA"/>
    <w:rsid w:val="007A6893"/>
    <w:rsid w:val="007B1996"/>
    <w:rsid w:val="007B1BDD"/>
    <w:rsid w:val="007B4F78"/>
    <w:rsid w:val="007B525F"/>
    <w:rsid w:val="007B5EF6"/>
    <w:rsid w:val="007B7EED"/>
    <w:rsid w:val="007C0696"/>
    <w:rsid w:val="007C2EBE"/>
    <w:rsid w:val="007C69DD"/>
    <w:rsid w:val="007D179D"/>
    <w:rsid w:val="007D1DAA"/>
    <w:rsid w:val="007D223C"/>
    <w:rsid w:val="007D5232"/>
    <w:rsid w:val="007D5F75"/>
    <w:rsid w:val="007E07CD"/>
    <w:rsid w:val="007E0B24"/>
    <w:rsid w:val="007E69E2"/>
    <w:rsid w:val="007F478A"/>
    <w:rsid w:val="007F53CF"/>
    <w:rsid w:val="007F55BF"/>
    <w:rsid w:val="007F5D61"/>
    <w:rsid w:val="007F63DD"/>
    <w:rsid w:val="007F7D6F"/>
    <w:rsid w:val="00801DC6"/>
    <w:rsid w:val="008028BA"/>
    <w:rsid w:val="00803AFA"/>
    <w:rsid w:val="00803D9E"/>
    <w:rsid w:val="00805ED5"/>
    <w:rsid w:val="008153B1"/>
    <w:rsid w:val="008159D1"/>
    <w:rsid w:val="008171FD"/>
    <w:rsid w:val="00820DF0"/>
    <w:rsid w:val="008274A0"/>
    <w:rsid w:val="0083211B"/>
    <w:rsid w:val="00832D33"/>
    <w:rsid w:val="00835B22"/>
    <w:rsid w:val="00837763"/>
    <w:rsid w:val="00837ACF"/>
    <w:rsid w:val="008410ED"/>
    <w:rsid w:val="008441F2"/>
    <w:rsid w:val="0084601E"/>
    <w:rsid w:val="00846E5F"/>
    <w:rsid w:val="00853495"/>
    <w:rsid w:val="008559EB"/>
    <w:rsid w:val="00855E6A"/>
    <w:rsid w:val="008612A4"/>
    <w:rsid w:val="00863212"/>
    <w:rsid w:val="0086608B"/>
    <w:rsid w:val="00867B04"/>
    <w:rsid w:val="00873724"/>
    <w:rsid w:val="00874711"/>
    <w:rsid w:val="00877B3C"/>
    <w:rsid w:val="008814DA"/>
    <w:rsid w:val="0088518A"/>
    <w:rsid w:val="0089020C"/>
    <w:rsid w:val="008914B8"/>
    <w:rsid w:val="00893C83"/>
    <w:rsid w:val="00893CF6"/>
    <w:rsid w:val="00895013"/>
    <w:rsid w:val="0089651B"/>
    <w:rsid w:val="0089703D"/>
    <w:rsid w:val="008A2F7F"/>
    <w:rsid w:val="008A3E8A"/>
    <w:rsid w:val="008A4B55"/>
    <w:rsid w:val="008B092D"/>
    <w:rsid w:val="008B1D63"/>
    <w:rsid w:val="008B68A2"/>
    <w:rsid w:val="008C2457"/>
    <w:rsid w:val="008C43A2"/>
    <w:rsid w:val="008C6B2F"/>
    <w:rsid w:val="008C71AD"/>
    <w:rsid w:val="008C7CD4"/>
    <w:rsid w:val="008D0CBC"/>
    <w:rsid w:val="008D194B"/>
    <w:rsid w:val="008D2058"/>
    <w:rsid w:val="008D36E1"/>
    <w:rsid w:val="008D38AD"/>
    <w:rsid w:val="008D41CC"/>
    <w:rsid w:val="008D635B"/>
    <w:rsid w:val="008E3A09"/>
    <w:rsid w:val="008E511C"/>
    <w:rsid w:val="008E51A6"/>
    <w:rsid w:val="008F50BD"/>
    <w:rsid w:val="00901824"/>
    <w:rsid w:val="009020CE"/>
    <w:rsid w:val="009042B9"/>
    <w:rsid w:val="00906B95"/>
    <w:rsid w:val="00911C02"/>
    <w:rsid w:val="00916511"/>
    <w:rsid w:val="00920214"/>
    <w:rsid w:val="009220D2"/>
    <w:rsid w:val="009301FB"/>
    <w:rsid w:val="00932189"/>
    <w:rsid w:val="00934001"/>
    <w:rsid w:val="0093534D"/>
    <w:rsid w:val="00936035"/>
    <w:rsid w:val="00937486"/>
    <w:rsid w:val="00940837"/>
    <w:rsid w:val="0094299F"/>
    <w:rsid w:val="009458EC"/>
    <w:rsid w:val="009506E9"/>
    <w:rsid w:val="00953B7A"/>
    <w:rsid w:val="0096433D"/>
    <w:rsid w:val="00965C6C"/>
    <w:rsid w:val="00966FC6"/>
    <w:rsid w:val="00967126"/>
    <w:rsid w:val="009712FC"/>
    <w:rsid w:val="0097437F"/>
    <w:rsid w:val="00974457"/>
    <w:rsid w:val="00975EAB"/>
    <w:rsid w:val="00976BC7"/>
    <w:rsid w:val="009772FD"/>
    <w:rsid w:val="009819C8"/>
    <w:rsid w:val="00981B48"/>
    <w:rsid w:val="009862B3"/>
    <w:rsid w:val="009876FB"/>
    <w:rsid w:val="00992870"/>
    <w:rsid w:val="00992CB9"/>
    <w:rsid w:val="00996BB9"/>
    <w:rsid w:val="009A1CAD"/>
    <w:rsid w:val="009A2DDD"/>
    <w:rsid w:val="009A3039"/>
    <w:rsid w:val="009A3E2C"/>
    <w:rsid w:val="009A4997"/>
    <w:rsid w:val="009A5C26"/>
    <w:rsid w:val="009A62EA"/>
    <w:rsid w:val="009A7D84"/>
    <w:rsid w:val="009A7DF4"/>
    <w:rsid w:val="009B16E8"/>
    <w:rsid w:val="009B1C55"/>
    <w:rsid w:val="009B5496"/>
    <w:rsid w:val="009B6771"/>
    <w:rsid w:val="009B6EC1"/>
    <w:rsid w:val="009C073D"/>
    <w:rsid w:val="009C1527"/>
    <w:rsid w:val="009C1F76"/>
    <w:rsid w:val="009C354E"/>
    <w:rsid w:val="009C46DA"/>
    <w:rsid w:val="009C4C44"/>
    <w:rsid w:val="009C5B80"/>
    <w:rsid w:val="009C63E1"/>
    <w:rsid w:val="009C6520"/>
    <w:rsid w:val="009C6862"/>
    <w:rsid w:val="009D12AE"/>
    <w:rsid w:val="009D1DA6"/>
    <w:rsid w:val="009D6FA3"/>
    <w:rsid w:val="009D7F93"/>
    <w:rsid w:val="009E52BF"/>
    <w:rsid w:val="009E758E"/>
    <w:rsid w:val="009F048F"/>
    <w:rsid w:val="009F20E4"/>
    <w:rsid w:val="009F348C"/>
    <w:rsid w:val="009F5399"/>
    <w:rsid w:val="009F58A3"/>
    <w:rsid w:val="00A0098B"/>
    <w:rsid w:val="00A00D9A"/>
    <w:rsid w:val="00A01FDE"/>
    <w:rsid w:val="00A02893"/>
    <w:rsid w:val="00A02F67"/>
    <w:rsid w:val="00A03028"/>
    <w:rsid w:val="00A059C7"/>
    <w:rsid w:val="00A072DF"/>
    <w:rsid w:val="00A10F22"/>
    <w:rsid w:val="00A11EF6"/>
    <w:rsid w:val="00A14708"/>
    <w:rsid w:val="00A21A03"/>
    <w:rsid w:val="00A22604"/>
    <w:rsid w:val="00A25B07"/>
    <w:rsid w:val="00A33469"/>
    <w:rsid w:val="00A33598"/>
    <w:rsid w:val="00A34372"/>
    <w:rsid w:val="00A35837"/>
    <w:rsid w:val="00A35D77"/>
    <w:rsid w:val="00A37130"/>
    <w:rsid w:val="00A4030C"/>
    <w:rsid w:val="00A420EF"/>
    <w:rsid w:val="00A440E3"/>
    <w:rsid w:val="00A50E9E"/>
    <w:rsid w:val="00A51D15"/>
    <w:rsid w:val="00A5403C"/>
    <w:rsid w:val="00A55007"/>
    <w:rsid w:val="00A56C9C"/>
    <w:rsid w:val="00A5797E"/>
    <w:rsid w:val="00A57E67"/>
    <w:rsid w:val="00A6159F"/>
    <w:rsid w:val="00A65004"/>
    <w:rsid w:val="00A7011B"/>
    <w:rsid w:val="00A74ADC"/>
    <w:rsid w:val="00A75F8E"/>
    <w:rsid w:val="00A76D51"/>
    <w:rsid w:val="00A80599"/>
    <w:rsid w:val="00A81FC3"/>
    <w:rsid w:val="00A86AE1"/>
    <w:rsid w:val="00A920F8"/>
    <w:rsid w:val="00A94968"/>
    <w:rsid w:val="00A949C9"/>
    <w:rsid w:val="00A95828"/>
    <w:rsid w:val="00AA52B7"/>
    <w:rsid w:val="00AB0956"/>
    <w:rsid w:val="00AB0AC9"/>
    <w:rsid w:val="00AB1E37"/>
    <w:rsid w:val="00AB4F9F"/>
    <w:rsid w:val="00AB7DAD"/>
    <w:rsid w:val="00AC0656"/>
    <w:rsid w:val="00AC1FC1"/>
    <w:rsid w:val="00AC39FC"/>
    <w:rsid w:val="00AC3A60"/>
    <w:rsid w:val="00AC4252"/>
    <w:rsid w:val="00AC4270"/>
    <w:rsid w:val="00AC536E"/>
    <w:rsid w:val="00AC5961"/>
    <w:rsid w:val="00AC7D4E"/>
    <w:rsid w:val="00AD13DE"/>
    <w:rsid w:val="00AD2882"/>
    <w:rsid w:val="00AD2BA6"/>
    <w:rsid w:val="00AD3CC1"/>
    <w:rsid w:val="00AD4B41"/>
    <w:rsid w:val="00AD579D"/>
    <w:rsid w:val="00AD70DC"/>
    <w:rsid w:val="00AD7F9C"/>
    <w:rsid w:val="00AE02B6"/>
    <w:rsid w:val="00AE0AF4"/>
    <w:rsid w:val="00AE10DB"/>
    <w:rsid w:val="00AE4166"/>
    <w:rsid w:val="00AE49DA"/>
    <w:rsid w:val="00AE6E44"/>
    <w:rsid w:val="00AF25F3"/>
    <w:rsid w:val="00B00718"/>
    <w:rsid w:val="00B01515"/>
    <w:rsid w:val="00B0177F"/>
    <w:rsid w:val="00B0422C"/>
    <w:rsid w:val="00B0788B"/>
    <w:rsid w:val="00B125D2"/>
    <w:rsid w:val="00B152A5"/>
    <w:rsid w:val="00B16563"/>
    <w:rsid w:val="00B20ACA"/>
    <w:rsid w:val="00B23108"/>
    <w:rsid w:val="00B26FF7"/>
    <w:rsid w:val="00B32F22"/>
    <w:rsid w:val="00B343BF"/>
    <w:rsid w:val="00B347C9"/>
    <w:rsid w:val="00B36252"/>
    <w:rsid w:val="00B43762"/>
    <w:rsid w:val="00B45F69"/>
    <w:rsid w:val="00B46983"/>
    <w:rsid w:val="00B510B6"/>
    <w:rsid w:val="00B53039"/>
    <w:rsid w:val="00B55CCD"/>
    <w:rsid w:val="00B6436B"/>
    <w:rsid w:val="00B658A8"/>
    <w:rsid w:val="00B673A3"/>
    <w:rsid w:val="00B7167F"/>
    <w:rsid w:val="00B73570"/>
    <w:rsid w:val="00B744F2"/>
    <w:rsid w:val="00B75715"/>
    <w:rsid w:val="00B7667C"/>
    <w:rsid w:val="00B76C42"/>
    <w:rsid w:val="00B77AC2"/>
    <w:rsid w:val="00B82317"/>
    <w:rsid w:val="00B927FA"/>
    <w:rsid w:val="00B95483"/>
    <w:rsid w:val="00BA1114"/>
    <w:rsid w:val="00BA45BD"/>
    <w:rsid w:val="00BA52DB"/>
    <w:rsid w:val="00BA5B2A"/>
    <w:rsid w:val="00BB1112"/>
    <w:rsid w:val="00BB47D8"/>
    <w:rsid w:val="00BB5035"/>
    <w:rsid w:val="00BC11B2"/>
    <w:rsid w:val="00BD2E4E"/>
    <w:rsid w:val="00BD4B52"/>
    <w:rsid w:val="00BE0B15"/>
    <w:rsid w:val="00BE1B6A"/>
    <w:rsid w:val="00BE1F05"/>
    <w:rsid w:val="00BE24D6"/>
    <w:rsid w:val="00BE4755"/>
    <w:rsid w:val="00BE6198"/>
    <w:rsid w:val="00BF1EA6"/>
    <w:rsid w:val="00BF22D2"/>
    <w:rsid w:val="00BF4270"/>
    <w:rsid w:val="00BF5DD1"/>
    <w:rsid w:val="00BF7FEF"/>
    <w:rsid w:val="00C00BB1"/>
    <w:rsid w:val="00C02889"/>
    <w:rsid w:val="00C041D4"/>
    <w:rsid w:val="00C05636"/>
    <w:rsid w:val="00C17D12"/>
    <w:rsid w:val="00C229A8"/>
    <w:rsid w:val="00C24CB8"/>
    <w:rsid w:val="00C26289"/>
    <w:rsid w:val="00C31287"/>
    <w:rsid w:val="00C3136B"/>
    <w:rsid w:val="00C349BB"/>
    <w:rsid w:val="00C53A8F"/>
    <w:rsid w:val="00C53CE3"/>
    <w:rsid w:val="00C55616"/>
    <w:rsid w:val="00C62A01"/>
    <w:rsid w:val="00C6395F"/>
    <w:rsid w:val="00C660B3"/>
    <w:rsid w:val="00C6765A"/>
    <w:rsid w:val="00C72511"/>
    <w:rsid w:val="00C74AF6"/>
    <w:rsid w:val="00C80FDA"/>
    <w:rsid w:val="00C83519"/>
    <w:rsid w:val="00C835B4"/>
    <w:rsid w:val="00C838BC"/>
    <w:rsid w:val="00C84D0B"/>
    <w:rsid w:val="00C87652"/>
    <w:rsid w:val="00C911E7"/>
    <w:rsid w:val="00C91B86"/>
    <w:rsid w:val="00C9243A"/>
    <w:rsid w:val="00C941ED"/>
    <w:rsid w:val="00CA10DF"/>
    <w:rsid w:val="00CA1511"/>
    <w:rsid w:val="00CA22B7"/>
    <w:rsid w:val="00CA2AB8"/>
    <w:rsid w:val="00CA3E99"/>
    <w:rsid w:val="00CA4A4B"/>
    <w:rsid w:val="00CA4F89"/>
    <w:rsid w:val="00CA5EB7"/>
    <w:rsid w:val="00CB59A8"/>
    <w:rsid w:val="00CB736D"/>
    <w:rsid w:val="00CC0878"/>
    <w:rsid w:val="00CC0FA4"/>
    <w:rsid w:val="00CC3F83"/>
    <w:rsid w:val="00CC470E"/>
    <w:rsid w:val="00CC5235"/>
    <w:rsid w:val="00CC745A"/>
    <w:rsid w:val="00CD3EB8"/>
    <w:rsid w:val="00CD4793"/>
    <w:rsid w:val="00CD4A6E"/>
    <w:rsid w:val="00CD58E0"/>
    <w:rsid w:val="00CE0180"/>
    <w:rsid w:val="00CE0F1A"/>
    <w:rsid w:val="00CE2F37"/>
    <w:rsid w:val="00CE3159"/>
    <w:rsid w:val="00CE38B2"/>
    <w:rsid w:val="00CE5A24"/>
    <w:rsid w:val="00CE5BE5"/>
    <w:rsid w:val="00CE5DB4"/>
    <w:rsid w:val="00CE6C2D"/>
    <w:rsid w:val="00CE7269"/>
    <w:rsid w:val="00CF2643"/>
    <w:rsid w:val="00CF2EA9"/>
    <w:rsid w:val="00CF4AD9"/>
    <w:rsid w:val="00CF51CC"/>
    <w:rsid w:val="00CF5C03"/>
    <w:rsid w:val="00CF7696"/>
    <w:rsid w:val="00CF7EBE"/>
    <w:rsid w:val="00D0507A"/>
    <w:rsid w:val="00D06E6A"/>
    <w:rsid w:val="00D07D41"/>
    <w:rsid w:val="00D10891"/>
    <w:rsid w:val="00D147C9"/>
    <w:rsid w:val="00D1522F"/>
    <w:rsid w:val="00D17D2B"/>
    <w:rsid w:val="00D244FA"/>
    <w:rsid w:val="00D24FAC"/>
    <w:rsid w:val="00D309DB"/>
    <w:rsid w:val="00D30C26"/>
    <w:rsid w:val="00D31560"/>
    <w:rsid w:val="00D35BD9"/>
    <w:rsid w:val="00D379A9"/>
    <w:rsid w:val="00D42D4A"/>
    <w:rsid w:val="00D44195"/>
    <w:rsid w:val="00D47AEA"/>
    <w:rsid w:val="00D50DE1"/>
    <w:rsid w:val="00D512BD"/>
    <w:rsid w:val="00D516E8"/>
    <w:rsid w:val="00D51F1E"/>
    <w:rsid w:val="00D53CCE"/>
    <w:rsid w:val="00D53E14"/>
    <w:rsid w:val="00D56ECA"/>
    <w:rsid w:val="00D61AC6"/>
    <w:rsid w:val="00D639FD"/>
    <w:rsid w:val="00D645C9"/>
    <w:rsid w:val="00D65A44"/>
    <w:rsid w:val="00D66AD5"/>
    <w:rsid w:val="00D67180"/>
    <w:rsid w:val="00D70878"/>
    <w:rsid w:val="00D72907"/>
    <w:rsid w:val="00D77D7C"/>
    <w:rsid w:val="00D80DE7"/>
    <w:rsid w:val="00D83F30"/>
    <w:rsid w:val="00D92257"/>
    <w:rsid w:val="00D96003"/>
    <w:rsid w:val="00D96F74"/>
    <w:rsid w:val="00DA32DA"/>
    <w:rsid w:val="00DA35A2"/>
    <w:rsid w:val="00DA36A1"/>
    <w:rsid w:val="00DA380E"/>
    <w:rsid w:val="00DA3C48"/>
    <w:rsid w:val="00DA3F39"/>
    <w:rsid w:val="00DA4737"/>
    <w:rsid w:val="00DA4B9E"/>
    <w:rsid w:val="00DA4ED3"/>
    <w:rsid w:val="00DA5126"/>
    <w:rsid w:val="00DA7D7B"/>
    <w:rsid w:val="00DB13B8"/>
    <w:rsid w:val="00DB2F31"/>
    <w:rsid w:val="00DB3651"/>
    <w:rsid w:val="00DB39F7"/>
    <w:rsid w:val="00DB6219"/>
    <w:rsid w:val="00DB6F39"/>
    <w:rsid w:val="00DC3FE2"/>
    <w:rsid w:val="00DC4F1D"/>
    <w:rsid w:val="00DC6B64"/>
    <w:rsid w:val="00DD1E41"/>
    <w:rsid w:val="00DD50F0"/>
    <w:rsid w:val="00DD7939"/>
    <w:rsid w:val="00DE1772"/>
    <w:rsid w:val="00DE3037"/>
    <w:rsid w:val="00DF0E62"/>
    <w:rsid w:val="00DF20D2"/>
    <w:rsid w:val="00DF39B0"/>
    <w:rsid w:val="00DF55FC"/>
    <w:rsid w:val="00DF5E24"/>
    <w:rsid w:val="00E044CC"/>
    <w:rsid w:val="00E05698"/>
    <w:rsid w:val="00E06D1C"/>
    <w:rsid w:val="00E13E1E"/>
    <w:rsid w:val="00E178A4"/>
    <w:rsid w:val="00E2025C"/>
    <w:rsid w:val="00E211D0"/>
    <w:rsid w:val="00E217F3"/>
    <w:rsid w:val="00E227B9"/>
    <w:rsid w:val="00E2391C"/>
    <w:rsid w:val="00E23B1B"/>
    <w:rsid w:val="00E23C8E"/>
    <w:rsid w:val="00E276AD"/>
    <w:rsid w:val="00E27AAC"/>
    <w:rsid w:val="00E3130F"/>
    <w:rsid w:val="00E313ED"/>
    <w:rsid w:val="00E31E31"/>
    <w:rsid w:val="00E3430B"/>
    <w:rsid w:val="00E34ABA"/>
    <w:rsid w:val="00E359B0"/>
    <w:rsid w:val="00E37E3E"/>
    <w:rsid w:val="00E40F64"/>
    <w:rsid w:val="00E44EBA"/>
    <w:rsid w:val="00E467F1"/>
    <w:rsid w:val="00E64F1D"/>
    <w:rsid w:val="00E6541F"/>
    <w:rsid w:val="00E6601B"/>
    <w:rsid w:val="00E70752"/>
    <w:rsid w:val="00E709E4"/>
    <w:rsid w:val="00E71CC7"/>
    <w:rsid w:val="00E71DD9"/>
    <w:rsid w:val="00E74812"/>
    <w:rsid w:val="00E81B9A"/>
    <w:rsid w:val="00E833E3"/>
    <w:rsid w:val="00E9162E"/>
    <w:rsid w:val="00E929D2"/>
    <w:rsid w:val="00E93123"/>
    <w:rsid w:val="00E964E3"/>
    <w:rsid w:val="00EA3052"/>
    <w:rsid w:val="00EA3E49"/>
    <w:rsid w:val="00EA45EF"/>
    <w:rsid w:val="00EB19EE"/>
    <w:rsid w:val="00EB264D"/>
    <w:rsid w:val="00EB39C8"/>
    <w:rsid w:val="00EB6CF1"/>
    <w:rsid w:val="00EC6E90"/>
    <w:rsid w:val="00EC75BD"/>
    <w:rsid w:val="00ED209D"/>
    <w:rsid w:val="00ED44C7"/>
    <w:rsid w:val="00EE06A7"/>
    <w:rsid w:val="00EE0827"/>
    <w:rsid w:val="00EE0A8E"/>
    <w:rsid w:val="00EE1E9D"/>
    <w:rsid w:val="00EE2DBD"/>
    <w:rsid w:val="00EE485B"/>
    <w:rsid w:val="00EE5027"/>
    <w:rsid w:val="00EE717B"/>
    <w:rsid w:val="00EF0F95"/>
    <w:rsid w:val="00EF2662"/>
    <w:rsid w:val="00EF353D"/>
    <w:rsid w:val="00EF403A"/>
    <w:rsid w:val="00EF4B04"/>
    <w:rsid w:val="00EF55D9"/>
    <w:rsid w:val="00EF6A95"/>
    <w:rsid w:val="00F0175B"/>
    <w:rsid w:val="00F023F2"/>
    <w:rsid w:val="00F03E7D"/>
    <w:rsid w:val="00F05F30"/>
    <w:rsid w:val="00F129BB"/>
    <w:rsid w:val="00F17C2C"/>
    <w:rsid w:val="00F31887"/>
    <w:rsid w:val="00F32237"/>
    <w:rsid w:val="00F33AED"/>
    <w:rsid w:val="00F353E4"/>
    <w:rsid w:val="00F35F30"/>
    <w:rsid w:val="00F36659"/>
    <w:rsid w:val="00F36986"/>
    <w:rsid w:val="00F372A5"/>
    <w:rsid w:val="00F409FB"/>
    <w:rsid w:val="00F446C5"/>
    <w:rsid w:val="00F50C21"/>
    <w:rsid w:val="00F5496E"/>
    <w:rsid w:val="00F57E35"/>
    <w:rsid w:val="00F70EA0"/>
    <w:rsid w:val="00F71AA5"/>
    <w:rsid w:val="00F72791"/>
    <w:rsid w:val="00F77EF0"/>
    <w:rsid w:val="00F8101A"/>
    <w:rsid w:val="00F85FE3"/>
    <w:rsid w:val="00F908B6"/>
    <w:rsid w:val="00F90FC0"/>
    <w:rsid w:val="00F9441A"/>
    <w:rsid w:val="00F949A4"/>
    <w:rsid w:val="00F97912"/>
    <w:rsid w:val="00FA10D5"/>
    <w:rsid w:val="00FA2377"/>
    <w:rsid w:val="00FA2FA0"/>
    <w:rsid w:val="00FA3CD2"/>
    <w:rsid w:val="00FB094F"/>
    <w:rsid w:val="00FB1B7F"/>
    <w:rsid w:val="00FB3CFB"/>
    <w:rsid w:val="00FB5980"/>
    <w:rsid w:val="00FB59D1"/>
    <w:rsid w:val="00FB5B4D"/>
    <w:rsid w:val="00FC0ACC"/>
    <w:rsid w:val="00FC0BB0"/>
    <w:rsid w:val="00FC3376"/>
    <w:rsid w:val="00FC4499"/>
    <w:rsid w:val="00FC72ED"/>
    <w:rsid w:val="00FD0305"/>
    <w:rsid w:val="00FD102A"/>
    <w:rsid w:val="00FD6065"/>
    <w:rsid w:val="00FE5CD5"/>
    <w:rsid w:val="00FE5D15"/>
    <w:rsid w:val="00FF2FE4"/>
    <w:rsid w:val="00FF3349"/>
    <w:rsid w:val="00FF404C"/>
    <w:rsid w:val="00FF449E"/>
    <w:rsid w:val="00FF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9BDB3-DED8-4D9C-8D56-A6E7616B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74"/>
  </w:style>
  <w:style w:type="paragraph" w:styleId="Heading1">
    <w:name w:val="heading 1"/>
    <w:basedOn w:val="Normal"/>
    <w:next w:val="Normal"/>
    <w:link w:val="Heading1Char"/>
    <w:uiPriority w:val="9"/>
    <w:qFormat/>
    <w:rsid w:val="004E7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7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222"/>
    <w:pPr>
      <w:ind w:left="720"/>
      <w:contextualSpacing/>
    </w:pPr>
  </w:style>
  <w:style w:type="paragraph" w:styleId="BalloonText">
    <w:name w:val="Balloon Text"/>
    <w:basedOn w:val="Normal"/>
    <w:link w:val="BalloonTextChar"/>
    <w:uiPriority w:val="99"/>
    <w:semiHidden/>
    <w:unhideWhenUsed/>
    <w:rsid w:val="00F9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B6"/>
    <w:rPr>
      <w:rFonts w:ascii="Tahoma" w:hAnsi="Tahoma" w:cs="Tahoma"/>
      <w:sz w:val="16"/>
      <w:szCs w:val="16"/>
    </w:rPr>
  </w:style>
  <w:style w:type="paragraph" w:styleId="Header">
    <w:name w:val="header"/>
    <w:basedOn w:val="Normal"/>
    <w:link w:val="HeaderChar"/>
    <w:uiPriority w:val="99"/>
    <w:unhideWhenUsed/>
    <w:rsid w:val="00740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9CD"/>
  </w:style>
  <w:style w:type="paragraph" w:styleId="Footer">
    <w:name w:val="footer"/>
    <w:basedOn w:val="Normal"/>
    <w:link w:val="FooterChar"/>
    <w:uiPriority w:val="99"/>
    <w:unhideWhenUsed/>
    <w:rsid w:val="00740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9CD"/>
  </w:style>
  <w:style w:type="character" w:styleId="CommentReference">
    <w:name w:val="annotation reference"/>
    <w:basedOn w:val="DefaultParagraphFont"/>
    <w:uiPriority w:val="99"/>
    <w:semiHidden/>
    <w:unhideWhenUsed/>
    <w:rsid w:val="007409CD"/>
    <w:rPr>
      <w:sz w:val="16"/>
      <w:szCs w:val="16"/>
    </w:rPr>
  </w:style>
  <w:style w:type="paragraph" w:styleId="CommentText">
    <w:name w:val="annotation text"/>
    <w:basedOn w:val="Normal"/>
    <w:link w:val="CommentTextChar"/>
    <w:uiPriority w:val="99"/>
    <w:semiHidden/>
    <w:unhideWhenUsed/>
    <w:rsid w:val="007409CD"/>
    <w:pPr>
      <w:spacing w:line="240" w:lineRule="auto"/>
    </w:pPr>
    <w:rPr>
      <w:sz w:val="20"/>
      <w:szCs w:val="20"/>
    </w:rPr>
  </w:style>
  <w:style w:type="character" w:customStyle="1" w:styleId="CommentTextChar">
    <w:name w:val="Comment Text Char"/>
    <w:basedOn w:val="DefaultParagraphFont"/>
    <w:link w:val="CommentText"/>
    <w:uiPriority w:val="99"/>
    <w:semiHidden/>
    <w:rsid w:val="007409CD"/>
    <w:rPr>
      <w:sz w:val="20"/>
      <w:szCs w:val="20"/>
    </w:rPr>
  </w:style>
  <w:style w:type="paragraph" w:styleId="CommentSubject">
    <w:name w:val="annotation subject"/>
    <w:basedOn w:val="CommentText"/>
    <w:next w:val="CommentText"/>
    <w:link w:val="CommentSubjectChar"/>
    <w:uiPriority w:val="99"/>
    <w:semiHidden/>
    <w:unhideWhenUsed/>
    <w:rsid w:val="007409CD"/>
    <w:rPr>
      <w:b/>
      <w:bCs/>
    </w:rPr>
  </w:style>
  <w:style w:type="character" w:customStyle="1" w:styleId="CommentSubjectChar">
    <w:name w:val="Comment Subject Char"/>
    <w:basedOn w:val="CommentTextChar"/>
    <w:link w:val="CommentSubject"/>
    <w:uiPriority w:val="99"/>
    <w:semiHidden/>
    <w:rsid w:val="007409CD"/>
    <w:rPr>
      <w:b/>
      <w:bCs/>
      <w:sz w:val="20"/>
      <w:szCs w:val="20"/>
    </w:rPr>
  </w:style>
  <w:style w:type="character" w:customStyle="1" w:styleId="Heading1Char">
    <w:name w:val="Heading 1 Char"/>
    <w:basedOn w:val="DefaultParagraphFont"/>
    <w:link w:val="Heading1"/>
    <w:uiPriority w:val="9"/>
    <w:rsid w:val="004E795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9F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48F"/>
    <w:rPr>
      <w:sz w:val="20"/>
      <w:szCs w:val="20"/>
    </w:rPr>
  </w:style>
  <w:style w:type="character" w:styleId="FootnoteReference">
    <w:name w:val="footnote reference"/>
    <w:basedOn w:val="DefaultParagraphFont"/>
    <w:uiPriority w:val="99"/>
    <w:semiHidden/>
    <w:unhideWhenUsed/>
    <w:rsid w:val="009F048F"/>
    <w:rPr>
      <w:vertAlign w:val="superscript"/>
    </w:rPr>
  </w:style>
  <w:style w:type="paragraph" w:styleId="TOCHeading">
    <w:name w:val="TOC Heading"/>
    <w:basedOn w:val="Heading1"/>
    <w:next w:val="Normal"/>
    <w:uiPriority w:val="39"/>
    <w:semiHidden/>
    <w:unhideWhenUsed/>
    <w:qFormat/>
    <w:rsid w:val="00A14708"/>
    <w:pPr>
      <w:outlineLvl w:val="9"/>
    </w:pPr>
    <w:rPr>
      <w:lang w:val="en-US" w:eastAsia="ja-JP"/>
    </w:rPr>
  </w:style>
  <w:style w:type="paragraph" w:styleId="TOC1">
    <w:name w:val="toc 1"/>
    <w:basedOn w:val="Normal"/>
    <w:next w:val="Normal"/>
    <w:autoRedefine/>
    <w:uiPriority w:val="39"/>
    <w:unhideWhenUsed/>
    <w:rsid w:val="00A14708"/>
    <w:pPr>
      <w:spacing w:after="100"/>
    </w:pPr>
  </w:style>
  <w:style w:type="character" w:styleId="Hyperlink">
    <w:name w:val="Hyperlink"/>
    <w:basedOn w:val="DefaultParagraphFont"/>
    <w:uiPriority w:val="99"/>
    <w:unhideWhenUsed/>
    <w:rsid w:val="00A14708"/>
    <w:rPr>
      <w:color w:val="0000FF" w:themeColor="hyperlink"/>
      <w:u w:val="single"/>
    </w:rPr>
  </w:style>
  <w:style w:type="character" w:customStyle="1" w:styleId="Heading2Char">
    <w:name w:val="Heading 2 Char"/>
    <w:basedOn w:val="DefaultParagraphFont"/>
    <w:link w:val="Heading2"/>
    <w:uiPriority w:val="9"/>
    <w:rsid w:val="00A1470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A14708"/>
    <w:pPr>
      <w:spacing w:after="100"/>
      <w:ind w:left="220"/>
    </w:pPr>
  </w:style>
  <w:style w:type="table" w:styleId="TableGrid">
    <w:name w:val="Table Grid"/>
    <w:basedOn w:val="TableNormal"/>
    <w:uiPriority w:val="59"/>
    <w:rsid w:val="000C2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01F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E5A3-2A35-4F69-AE11-CCE12547C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FDD45-425F-45AA-A8A5-98F9CF4BDA05}">
  <ds:schemaRefs>
    <ds:schemaRef ds:uri="http://schemas.microsoft.com/sharepoint/v3/contenttype/forms"/>
  </ds:schemaRefs>
</ds:datastoreItem>
</file>

<file path=customXml/itemProps3.xml><?xml version="1.0" encoding="utf-8"?>
<ds:datastoreItem xmlns:ds="http://schemas.openxmlformats.org/officeDocument/2006/customXml" ds:itemID="{92364DC9-D59A-4DAC-B66D-8241223E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FAE97D-67C5-4E8B-ACF5-E665F4B7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5715</Words>
  <Characters>32581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Sion</dc:creator>
  <cp:keywords>REP012 </cp:keywords>
  <cp:lastModifiedBy>Scriptoria</cp:lastModifiedBy>
  <cp:revision>8</cp:revision>
  <cp:lastPrinted>2013-01-28T09:30:00Z</cp:lastPrinted>
  <dcterms:created xsi:type="dcterms:W3CDTF">2013-07-16T09:54:00Z</dcterms:created>
  <dcterms:modified xsi:type="dcterms:W3CDTF">2014-06-02T14:41:00Z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