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673EB" w:rsidRPr="00936D89" w:rsidRDefault="00E673EB" w:rsidP="00E67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>FINANCIAL AND BUSINESS MANAGEMENT FOR ROAD CONTRACTORS</w:t>
      </w:r>
    </w:p>
    <w:p w:rsidR="00E673EB" w:rsidRDefault="004870BF" w:rsidP="00E67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>MODULE THREE</w:t>
      </w:r>
      <w:r w:rsidR="00E673EB" w:rsidRPr="00936D89">
        <w:rPr>
          <w:rFonts w:ascii="Arial" w:hAnsi="Arial" w:cs="Arial"/>
          <w:b/>
          <w:sz w:val="24"/>
          <w:szCs w:val="24"/>
        </w:rPr>
        <w:t xml:space="preserve"> SESSION FOUR PARTICIPANTS’ NOTES</w:t>
      </w:r>
    </w:p>
    <w:p w:rsidR="002D6DE9" w:rsidRPr="00936D89" w:rsidRDefault="002D6DE9" w:rsidP="00E67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673EB" w:rsidRPr="00936D89" w:rsidRDefault="002312CD" w:rsidP="00E673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>REVENUE PROJECTIONS AND VARIANCE</w:t>
      </w:r>
    </w:p>
    <w:p w:rsidR="00E673EB" w:rsidRPr="00936D89" w:rsidRDefault="00E673EB" w:rsidP="00E673E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04B6B" w:rsidRPr="00936D89" w:rsidRDefault="00404B6B" w:rsidP="00827360">
      <w:pPr>
        <w:pStyle w:val="ListParagraph"/>
        <w:numPr>
          <w:ilvl w:val="0"/>
          <w:numId w:val="12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>Session Objectives</w:t>
      </w:r>
    </w:p>
    <w:p w:rsidR="00CC3313" w:rsidRPr="00936D89" w:rsidRDefault="00CC3313" w:rsidP="00827360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3313" w:rsidRPr="00936D89" w:rsidRDefault="00CC3313" w:rsidP="008273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6D89">
        <w:rPr>
          <w:rFonts w:ascii="Arial" w:hAnsi="Arial" w:cs="Arial"/>
          <w:sz w:val="24"/>
          <w:szCs w:val="24"/>
        </w:rPr>
        <w:t xml:space="preserve">By the end of the session trainees will be able to develop a forecasted revenue budget and to analyze and discuss revenue variances and how they relate to profitability and cash.     </w:t>
      </w:r>
    </w:p>
    <w:p w:rsidR="00E673EB" w:rsidRPr="00936D89" w:rsidRDefault="00CC3313" w:rsidP="008273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6D89">
        <w:rPr>
          <w:rFonts w:ascii="Arial" w:hAnsi="Arial" w:cs="Arial"/>
          <w:sz w:val="24"/>
          <w:szCs w:val="24"/>
        </w:rPr>
        <w:t xml:space="preserve">Training objectives include </w:t>
      </w:r>
      <w:r w:rsidR="00E673EB" w:rsidRPr="00936D89">
        <w:rPr>
          <w:rFonts w:ascii="Arial" w:hAnsi="Arial" w:cs="Arial"/>
          <w:sz w:val="24"/>
          <w:szCs w:val="24"/>
        </w:rPr>
        <w:t xml:space="preserve">training participants </w:t>
      </w:r>
      <w:r w:rsidRPr="00936D89">
        <w:rPr>
          <w:rFonts w:ascii="Arial" w:hAnsi="Arial" w:cs="Arial"/>
          <w:sz w:val="24"/>
          <w:szCs w:val="24"/>
        </w:rPr>
        <w:t xml:space="preserve">to </w:t>
      </w:r>
      <w:r w:rsidR="00E673EB" w:rsidRPr="00936D89">
        <w:rPr>
          <w:rFonts w:ascii="Arial" w:hAnsi="Arial" w:cs="Arial"/>
          <w:sz w:val="24"/>
          <w:szCs w:val="24"/>
        </w:rPr>
        <w:t>be able</w:t>
      </w:r>
      <w:r w:rsidRPr="00936D89">
        <w:rPr>
          <w:rFonts w:ascii="Arial" w:hAnsi="Arial" w:cs="Arial"/>
          <w:sz w:val="24"/>
          <w:szCs w:val="24"/>
        </w:rPr>
        <w:t>:</w:t>
      </w:r>
    </w:p>
    <w:p w:rsidR="00DE49A3" w:rsidRPr="00936D89" w:rsidRDefault="00E673EB" w:rsidP="0082736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36D89">
        <w:rPr>
          <w:rFonts w:ascii="Arial" w:hAnsi="Arial" w:cs="Arial"/>
          <w:sz w:val="24"/>
          <w:szCs w:val="24"/>
          <w:lang w:val="en-GB"/>
        </w:rPr>
        <w:t>To d</w:t>
      </w:r>
      <w:r w:rsidR="00C57E9B" w:rsidRPr="00936D89">
        <w:rPr>
          <w:rFonts w:ascii="Arial" w:hAnsi="Arial" w:cs="Arial"/>
          <w:sz w:val="24"/>
          <w:szCs w:val="24"/>
          <w:lang w:val="en-GB"/>
        </w:rPr>
        <w:t>evelop a revenue variance report</w:t>
      </w:r>
    </w:p>
    <w:p w:rsidR="00DE49A3" w:rsidRPr="00936D89" w:rsidRDefault="00E673EB" w:rsidP="0082736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36D89">
        <w:rPr>
          <w:rFonts w:ascii="Arial" w:hAnsi="Arial" w:cs="Arial"/>
          <w:sz w:val="24"/>
          <w:szCs w:val="24"/>
          <w:lang w:val="en-GB"/>
        </w:rPr>
        <w:t>To i</w:t>
      </w:r>
      <w:r w:rsidR="00C57E9B" w:rsidRPr="00936D89">
        <w:rPr>
          <w:rFonts w:ascii="Arial" w:hAnsi="Arial" w:cs="Arial"/>
          <w:sz w:val="24"/>
          <w:szCs w:val="24"/>
          <w:lang w:val="en-GB"/>
        </w:rPr>
        <w:t>dentify possible action on variances</w:t>
      </w:r>
    </w:p>
    <w:p w:rsidR="00DE49A3" w:rsidRPr="00936D89" w:rsidRDefault="00E673EB" w:rsidP="0082736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36D89">
        <w:rPr>
          <w:rFonts w:ascii="Arial" w:hAnsi="Arial" w:cs="Arial"/>
          <w:sz w:val="24"/>
          <w:szCs w:val="24"/>
          <w:lang w:val="en-GB"/>
        </w:rPr>
        <w:t>To d</w:t>
      </w:r>
      <w:r w:rsidR="00C57E9B" w:rsidRPr="00936D89">
        <w:rPr>
          <w:rFonts w:ascii="Arial" w:hAnsi="Arial" w:cs="Arial"/>
          <w:sz w:val="24"/>
          <w:szCs w:val="24"/>
          <w:lang w:val="en-GB"/>
        </w:rPr>
        <w:t xml:space="preserve">evelop </w:t>
      </w:r>
      <w:proofErr w:type="gramStart"/>
      <w:r w:rsidR="00CC3313" w:rsidRPr="00936D89">
        <w:rPr>
          <w:rFonts w:ascii="Arial" w:hAnsi="Arial" w:cs="Arial"/>
          <w:sz w:val="24"/>
          <w:szCs w:val="24"/>
          <w:lang w:val="en-GB"/>
        </w:rPr>
        <w:t xml:space="preserve">a  </w:t>
      </w:r>
      <w:r w:rsidR="00C57E9B" w:rsidRPr="00936D89">
        <w:rPr>
          <w:rFonts w:ascii="Arial" w:hAnsi="Arial" w:cs="Arial"/>
          <w:sz w:val="24"/>
          <w:szCs w:val="24"/>
          <w:lang w:val="en-GB"/>
        </w:rPr>
        <w:t>profit</w:t>
      </w:r>
      <w:proofErr w:type="gramEnd"/>
      <w:r w:rsidR="00C57E9B" w:rsidRPr="00936D89">
        <w:rPr>
          <w:rFonts w:ascii="Arial" w:hAnsi="Arial" w:cs="Arial"/>
          <w:sz w:val="24"/>
          <w:szCs w:val="24"/>
          <w:lang w:val="en-GB"/>
        </w:rPr>
        <w:t xml:space="preserve"> budget </w:t>
      </w:r>
    </w:p>
    <w:p w:rsidR="00CC3313" w:rsidRPr="00936D89" w:rsidRDefault="00CC3313" w:rsidP="00827360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36D89">
        <w:rPr>
          <w:rFonts w:ascii="Arial" w:hAnsi="Arial" w:cs="Arial"/>
          <w:sz w:val="24"/>
          <w:szCs w:val="24"/>
          <w:lang w:val="en-GB"/>
        </w:rPr>
        <w:t>To relate revenue budgets to profits and cash.</w:t>
      </w:r>
    </w:p>
    <w:p w:rsidR="00404B6B" w:rsidRPr="00936D89" w:rsidRDefault="00404B6B" w:rsidP="00827360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404B6B" w:rsidRPr="00936D89" w:rsidRDefault="00404B6B" w:rsidP="00827360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228D7" w:rsidRPr="00936D89" w:rsidRDefault="00E228D7" w:rsidP="00827360">
      <w:pPr>
        <w:pStyle w:val="BodyTextIndent"/>
        <w:numPr>
          <w:ilvl w:val="0"/>
          <w:numId w:val="12"/>
        </w:numPr>
        <w:spacing w:line="276" w:lineRule="auto"/>
        <w:ind w:left="0" w:firstLine="0"/>
        <w:rPr>
          <w:rFonts w:ascii="Arial" w:eastAsia="+mn-ea" w:hAnsi="Arial" w:cs="Arial"/>
          <w:b/>
          <w:szCs w:val="24"/>
        </w:rPr>
      </w:pPr>
      <w:r w:rsidRPr="00936D89">
        <w:rPr>
          <w:rFonts w:ascii="Arial" w:eastAsia="+mn-ea" w:hAnsi="Arial" w:cs="Arial"/>
          <w:b/>
          <w:szCs w:val="24"/>
        </w:rPr>
        <w:t>Revenue projections</w:t>
      </w:r>
    </w:p>
    <w:p w:rsidR="00827360" w:rsidRDefault="00827360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</w:p>
    <w:p w:rsidR="008E11F3" w:rsidRPr="00936D89" w:rsidRDefault="00E228D7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  <w:r w:rsidRPr="00936D89">
        <w:rPr>
          <w:rFonts w:ascii="Arial" w:hAnsi="Arial" w:cs="Arial"/>
          <w:szCs w:val="24"/>
        </w:rPr>
        <w:t xml:space="preserve">Using planning assumptions predict business volume, rates and timing. For the first year of </w:t>
      </w:r>
      <w:r w:rsidR="008E11F3" w:rsidRPr="00936D89">
        <w:rPr>
          <w:rFonts w:ascii="Arial" w:hAnsi="Arial" w:cs="Arial"/>
          <w:szCs w:val="24"/>
        </w:rPr>
        <w:t>the forecast</w:t>
      </w:r>
      <w:r w:rsidR="00E673EB" w:rsidRPr="00936D89">
        <w:rPr>
          <w:rFonts w:ascii="Arial" w:hAnsi="Arial" w:cs="Arial"/>
          <w:szCs w:val="24"/>
        </w:rPr>
        <w:t>s</w:t>
      </w:r>
      <w:r w:rsidR="007102EC" w:rsidRPr="00936D89">
        <w:rPr>
          <w:rFonts w:ascii="Arial" w:hAnsi="Arial" w:cs="Arial"/>
          <w:szCs w:val="24"/>
        </w:rPr>
        <w:t xml:space="preserve"> </w:t>
      </w:r>
      <w:r w:rsidR="00E673EB" w:rsidRPr="00936D89">
        <w:rPr>
          <w:rFonts w:ascii="Arial" w:hAnsi="Arial" w:cs="Arial"/>
          <w:szCs w:val="24"/>
        </w:rPr>
        <w:t>how</w:t>
      </w:r>
      <w:r w:rsidRPr="00936D89">
        <w:rPr>
          <w:rFonts w:ascii="Arial" w:hAnsi="Arial" w:cs="Arial"/>
          <w:szCs w:val="24"/>
        </w:rPr>
        <w:t xml:space="preserve"> </w:t>
      </w:r>
      <w:r w:rsidR="008E11F3" w:rsidRPr="00936D89">
        <w:rPr>
          <w:rFonts w:ascii="Arial" w:hAnsi="Arial" w:cs="Arial"/>
          <w:szCs w:val="24"/>
        </w:rPr>
        <w:t>projections on a monthly basis,</w:t>
      </w:r>
      <w:r w:rsidRPr="00936D89">
        <w:rPr>
          <w:rFonts w:ascii="Arial" w:hAnsi="Arial" w:cs="Arial"/>
          <w:szCs w:val="24"/>
        </w:rPr>
        <w:t xml:space="preserve"> </w:t>
      </w:r>
      <w:r w:rsidR="008E11F3" w:rsidRPr="00936D89">
        <w:rPr>
          <w:rFonts w:ascii="Arial" w:hAnsi="Arial" w:cs="Arial"/>
          <w:szCs w:val="24"/>
        </w:rPr>
        <w:t>then for the following years</w:t>
      </w:r>
      <w:r w:rsidRPr="00936D89">
        <w:rPr>
          <w:rFonts w:ascii="Arial" w:hAnsi="Arial" w:cs="Arial"/>
          <w:szCs w:val="24"/>
        </w:rPr>
        <w:t xml:space="preserve"> aggregate the amounts</w:t>
      </w:r>
      <w:r w:rsidR="008E11F3" w:rsidRPr="00936D89">
        <w:rPr>
          <w:rFonts w:ascii="Arial" w:hAnsi="Arial" w:cs="Arial"/>
          <w:szCs w:val="24"/>
        </w:rPr>
        <w:t xml:space="preserve"> on an annual basis</w:t>
      </w:r>
      <w:r w:rsidR="005A2635" w:rsidRPr="00936D89">
        <w:rPr>
          <w:rFonts w:ascii="Arial" w:hAnsi="Arial" w:cs="Arial"/>
          <w:szCs w:val="24"/>
        </w:rPr>
        <w:t>.</w:t>
      </w:r>
      <w:r w:rsidRPr="00936D89">
        <w:rPr>
          <w:rFonts w:ascii="Arial" w:hAnsi="Arial" w:cs="Arial"/>
          <w:szCs w:val="24"/>
        </w:rPr>
        <w:t xml:space="preserve"> </w:t>
      </w:r>
    </w:p>
    <w:p w:rsidR="00E673EB" w:rsidRPr="00936D89" w:rsidRDefault="005A2635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  <w:proofErr w:type="gramStart"/>
      <w:r w:rsidRPr="00936D89">
        <w:rPr>
          <w:rFonts w:ascii="Arial" w:hAnsi="Arial" w:cs="Arial"/>
          <w:szCs w:val="24"/>
        </w:rPr>
        <w:t>L</w:t>
      </w:r>
      <w:r w:rsidR="00E228D7" w:rsidRPr="00936D89">
        <w:rPr>
          <w:rFonts w:ascii="Arial" w:hAnsi="Arial" w:cs="Arial"/>
          <w:szCs w:val="24"/>
        </w:rPr>
        <w:t>ong term</w:t>
      </w:r>
      <w:proofErr w:type="gramEnd"/>
      <w:r w:rsidR="00E228D7" w:rsidRPr="00936D89">
        <w:rPr>
          <w:rFonts w:ascii="Arial" w:hAnsi="Arial" w:cs="Arial"/>
          <w:szCs w:val="24"/>
        </w:rPr>
        <w:t xml:space="preserve"> </w:t>
      </w:r>
      <w:r w:rsidRPr="00936D89">
        <w:rPr>
          <w:rFonts w:ascii="Arial" w:hAnsi="Arial" w:cs="Arial"/>
          <w:szCs w:val="24"/>
        </w:rPr>
        <w:t>r</w:t>
      </w:r>
      <w:r w:rsidR="00E228D7" w:rsidRPr="00936D89">
        <w:rPr>
          <w:rFonts w:ascii="Arial" w:hAnsi="Arial" w:cs="Arial"/>
          <w:szCs w:val="24"/>
        </w:rPr>
        <w:t>evenue projections are useful to business managers or owners in that they help to forecast business revenues under different conditions for up to 5</w:t>
      </w:r>
      <w:r w:rsidR="008E11F3" w:rsidRPr="00936D89">
        <w:rPr>
          <w:rFonts w:ascii="Arial" w:hAnsi="Arial" w:cs="Arial"/>
          <w:szCs w:val="24"/>
        </w:rPr>
        <w:t xml:space="preserve"> or more</w:t>
      </w:r>
      <w:r w:rsidR="00E228D7" w:rsidRPr="00936D89">
        <w:rPr>
          <w:rFonts w:ascii="Arial" w:hAnsi="Arial" w:cs="Arial"/>
          <w:szCs w:val="24"/>
        </w:rPr>
        <w:t xml:space="preserve"> years into the future. </w:t>
      </w:r>
      <w:r w:rsidR="00404B6B" w:rsidRPr="00936D89">
        <w:rPr>
          <w:rFonts w:ascii="Arial" w:eastAsia="+mn-ea" w:hAnsi="Arial" w:cs="Arial"/>
          <w:b/>
          <w:bCs/>
          <w:szCs w:val="24"/>
        </w:rPr>
        <w:t> </w:t>
      </w:r>
      <w:r w:rsidR="00404B6B" w:rsidRPr="00936D89">
        <w:rPr>
          <w:rFonts w:ascii="Arial" w:eastAsia="+mn-ea" w:hAnsi="Arial" w:cs="Arial"/>
          <w:szCs w:val="24"/>
        </w:rPr>
        <w:t xml:space="preserve">Accurate revenue projection </w:t>
      </w:r>
      <w:r w:rsidR="00A05559" w:rsidRPr="00936D89">
        <w:rPr>
          <w:rFonts w:ascii="Arial" w:eastAsia="+mn-ea" w:hAnsi="Arial" w:cs="Arial"/>
          <w:szCs w:val="24"/>
        </w:rPr>
        <w:t>helps to</w:t>
      </w:r>
      <w:r w:rsidR="00E228D7" w:rsidRPr="00936D89">
        <w:rPr>
          <w:rFonts w:ascii="Arial" w:eastAsia="+mn-ea" w:hAnsi="Arial" w:cs="Arial"/>
          <w:szCs w:val="24"/>
        </w:rPr>
        <w:t xml:space="preserve"> </w:t>
      </w:r>
      <w:r w:rsidR="00404B6B" w:rsidRPr="00936D89">
        <w:rPr>
          <w:rFonts w:ascii="Arial" w:eastAsia="+mn-ea" w:hAnsi="Arial" w:cs="Arial"/>
          <w:szCs w:val="24"/>
        </w:rPr>
        <w:t xml:space="preserve">predict peaks and </w:t>
      </w:r>
      <w:r w:rsidR="00E228D7" w:rsidRPr="00936D89">
        <w:rPr>
          <w:rFonts w:ascii="Arial" w:eastAsia="+mn-ea" w:hAnsi="Arial" w:cs="Arial"/>
          <w:szCs w:val="24"/>
        </w:rPr>
        <w:t>slumps</w:t>
      </w:r>
      <w:r w:rsidR="00404B6B" w:rsidRPr="00936D89">
        <w:rPr>
          <w:rFonts w:ascii="Arial" w:eastAsia="+mn-ea" w:hAnsi="Arial" w:cs="Arial"/>
          <w:szCs w:val="24"/>
        </w:rPr>
        <w:t xml:space="preserve"> in income, and </w:t>
      </w:r>
      <w:r w:rsidR="00E228D7" w:rsidRPr="00936D89">
        <w:rPr>
          <w:rFonts w:ascii="Arial" w:eastAsia="+mn-ea" w:hAnsi="Arial" w:cs="Arial"/>
          <w:szCs w:val="24"/>
        </w:rPr>
        <w:t xml:space="preserve">enable forward </w:t>
      </w:r>
      <w:r w:rsidR="00E673EB" w:rsidRPr="00936D89">
        <w:rPr>
          <w:rFonts w:ascii="Arial" w:eastAsia="+mn-ea" w:hAnsi="Arial" w:cs="Arial"/>
          <w:szCs w:val="24"/>
        </w:rPr>
        <w:t>planning and adjustments</w:t>
      </w:r>
      <w:r w:rsidR="00404B6B" w:rsidRPr="00936D89">
        <w:rPr>
          <w:rFonts w:ascii="Arial" w:eastAsia="+mn-ea" w:hAnsi="Arial" w:cs="Arial"/>
          <w:szCs w:val="24"/>
        </w:rPr>
        <w:t xml:space="preserve"> to staffing and </w:t>
      </w:r>
      <w:r w:rsidR="008E11F3" w:rsidRPr="00936D89">
        <w:rPr>
          <w:rFonts w:ascii="Arial" w:eastAsia="+mn-ea" w:hAnsi="Arial" w:cs="Arial"/>
          <w:szCs w:val="24"/>
        </w:rPr>
        <w:t xml:space="preserve">equipment, cash and </w:t>
      </w:r>
      <w:r w:rsidR="00404B6B" w:rsidRPr="00936D89">
        <w:rPr>
          <w:rFonts w:ascii="Arial" w:eastAsia="+mn-ea" w:hAnsi="Arial" w:cs="Arial"/>
          <w:szCs w:val="24"/>
        </w:rPr>
        <w:t>expenses</w:t>
      </w:r>
      <w:r w:rsidR="00E228D7" w:rsidRPr="00936D89">
        <w:rPr>
          <w:rFonts w:ascii="Arial" w:eastAsia="+mn-ea" w:hAnsi="Arial" w:cs="Arial"/>
          <w:szCs w:val="24"/>
        </w:rPr>
        <w:t xml:space="preserve">. </w:t>
      </w:r>
      <w:r w:rsidR="00404B6B" w:rsidRPr="00936D89">
        <w:rPr>
          <w:rFonts w:ascii="Arial" w:eastAsia="+mn-ea" w:hAnsi="Arial" w:cs="Arial"/>
          <w:szCs w:val="24"/>
        </w:rPr>
        <w:t xml:space="preserve"> </w:t>
      </w:r>
      <w:r w:rsidR="00C57E9B" w:rsidRPr="00936D89">
        <w:rPr>
          <w:rFonts w:ascii="Arial" w:eastAsia="+mn-ea" w:hAnsi="Arial" w:cs="Arial"/>
          <w:szCs w:val="24"/>
        </w:rPr>
        <w:t xml:space="preserve">In making projections, </w:t>
      </w:r>
      <w:r w:rsidR="008E11F3" w:rsidRPr="00936D89">
        <w:rPr>
          <w:rFonts w:ascii="Arial" w:eastAsia="+mn-ea" w:hAnsi="Arial" w:cs="Arial"/>
          <w:szCs w:val="24"/>
        </w:rPr>
        <w:t xml:space="preserve">analyze </w:t>
      </w:r>
      <w:r w:rsidR="00C57E9B" w:rsidRPr="00936D89">
        <w:rPr>
          <w:rFonts w:ascii="Arial" w:eastAsia="+mn-ea" w:hAnsi="Arial" w:cs="Arial"/>
          <w:szCs w:val="24"/>
        </w:rPr>
        <w:t xml:space="preserve">your current contract or contracts in </w:t>
      </w:r>
      <w:r w:rsidR="00E228D7" w:rsidRPr="00936D89">
        <w:rPr>
          <w:rFonts w:ascii="Arial" w:eastAsia="+mn-ea" w:hAnsi="Arial" w:cs="Arial"/>
          <w:szCs w:val="24"/>
        </w:rPr>
        <w:t xml:space="preserve">progress or due. </w:t>
      </w:r>
      <w:r w:rsidR="00C57E9B" w:rsidRPr="00936D89">
        <w:rPr>
          <w:rFonts w:ascii="Arial" w:eastAsia="+mn-ea" w:hAnsi="Arial" w:cs="Arial"/>
          <w:szCs w:val="24"/>
        </w:rPr>
        <w:t xml:space="preserve"> Make an estimate of how much income you expect to </w:t>
      </w:r>
      <w:r w:rsidR="00E228D7" w:rsidRPr="00936D89">
        <w:rPr>
          <w:rFonts w:ascii="Arial" w:eastAsia="+mn-ea" w:hAnsi="Arial" w:cs="Arial"/>
          <w:szCs w:val="24"/>
        </w:rPr>
        <w:t>bill on</w:t>
      </w:r>
      <w:r w:rsidR="00C57E9B" w:rsidRPr="00936D89">
        <w:rPr>
          <w:rFonts w:ascii="Arial" w:eastAsia="+mn-ea" w:hAnsi="Arial" w:cs="Arial"/>
          <w:szCs w:val="24"/>
        </w:rPr>
        <w:t xml:space="preserve"> a month-by-month basis and enter these figures on a spreadsheet.</w:t>
      </w:r>
      <w:r w:rsidR="00E228D7" w:rsidRPr="00936D89">
        <w:rPr>
          <w:rFonts w:ascii="Arial" w:hAnsi="Arial" w:cs="Arial"/>
          <w:szCs w:val="24"/>
        </w:rPr>
        <w:t xml:space="preserve"> Make assumptions that are realistic and achievable. Forecast </w:t>
      </w:r>
      <w:r w:rsidR="00E673EB" w:rsidRPr="00936D89">
        <w:rPr>
          <w:rFonts w:ascii="Arial" w:hAnsi="Arial" w:cs="Arial"/>
          <w:szCs w:val="24"/>
        </w:rPr>
        <w:t>basing on past</w:t>
      </w:r>
      <w:r w:rsidR="00E228D7" w:rsidRPr="00936D89">
        <w:rPr>
          <w:rFonts w:ascii="Arial" w:hAnsi="Arial" w:cs="Arial"/>
          <w:szCs w:val="24"/>
        </w:rPr>
        <w:t xml:space="preserve"> trends, future planned contracts, </w:t>
      </w:r>
      <w:proofErr w:type="gramStart"/>
      <w:r w:rsidR="00E228D7" w:rsidRPr="00936D89">
        <w:rPr>
          <w:rFonts w:ascii="Arial" w:hAnsi="Arial" w:cs="Arial"/>
          <w:szCs w:val="24"/>
        </w:rPr>
        <w:t>anticipated</w:t>
      </w:r>
      <w:proofErr w:type="gramEnd"/>
      <w:r w:rsidR="00E228D7" w:rsidRPr="00936D89">
        <w:rPr>
          <w:rFonts w:ascii="Arial" w:hAnsi="Arial" w:cs="Arial"/>
          <w:szCs w:val="24"/>
        </w:rPr>
        <w:t xml:space="preserve"> contracts</w:t>
      </w:r>
      <w:r w:rsidR="008E11F3" w:rsidRPr="00936D89">
        <w:rPr>
          <w:rFonts w:ascii="Arial" w:hAnsi="Arial" w:cs="Arial"/>
          <w:szCs w:val="24"/>
        </w:rPr>
        <w:t xml:space="preserve"> and</w:t>
      </w:r>
      <w:r w:rsidR="007102EC" w:rsidRPr="00936D89">
        <w:rPr>
          <w:rFonts w:ascii="Arial" w:hAnsi="Arial" w:cs="Arial"/>
          <w:szCs w:val="24"/>
        </w:rPr>
        <w:t xml:space="preserve"> </w:t>
      </w:r>
      <w:r w:rsidR="00E228D7" w:rsidRPr="00936D89">
        <w:rPr>
          <w:rFonts w:ascii="Arial" w:hAnsi="Arial" w:cs="Arial"/>
          <w:szCs w:val="24"/>
        </w:rPr>
        <w:t xml:space="preserve">work in progress. </w:t>
      </w:r>
      <w:r w:rsidR="00D57746" w:rsidRPr="00936D89">
        <w:rPr>
          <w:rFonts w:ascii="Arial" w:hAnsi="Arial" w:cs="Arial"/>
          <w:szCs w:val="24"/>
        </w:rPr>
        <w:t>Below is a suggested revenue projection format:</w:t>
      </w:r>
    </w:p>
    <w:p w:rsidR="00D57746" w:rsidRPr="00936D89" w:rsidRDefault="00D57746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908"/>
        <w:gridCol w:w="1170"/>
        <w:gridCol w:w="1170"/>
        <w:gridCol w:w="1142"/>
        <w:gridCol w:w="1108"/>
        <w:gridCol w:w="1170"/>
        <w:gridCol w:w="1548"/>
      </w:tblGrid>
      <w:tr w:rsidR="007102EC" w:rsidRPr="00936D89">
        <w:tc>
          <w:tcPr>
            <w:tcW w:w="19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Contract particulars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Y1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Y2</w:t>
            </w:r>
          </w:p>
        </w:tc>
        <w:tc>
          <w:tcPr>
            <w:tcW w:w="1142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Y3</w:t>
            </w:r>
          </w:p>
        </w:tc>
        <w:tc>
          <w:tcPr>
            <w:tcW w:w="11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Y4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Y5</w:t>
            </w:r>
          </w:p>
        </w:tc>
        <w:tc>
          <w:tcPr>
            <w:tcW w:w="154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Total</w:t>
            </w:r>
          </w:p>
        </w:tc>
      </w:tr>
      <w:tr w:rsidR="007102EC" w:rsidRPr="00936D89">
        <w:tc>
          <w:tcPr>
            <w:tcW w:w="19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Contract 1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42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7102EC" w:rsidRPr="00936D89">
        <w:tc>
          <w:tcPr>
            <w:tcW w:w="19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Contract 2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42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7102EC" w:rsidRPr="00936D89">
        <w:tc>
          <w:tcPr>
            <w:tcW w:w="19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Contract 3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42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7102EC" w:rsidRPr="00936D89">
        <w:tc>
          <w:tcPr>
            <w:tcW w:w="19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Contract 4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42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7102EC" w:rsidRPr="00936D89">
        <w:tc>
          <w:tcPr>
            <w:tcW w:w="19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936D89">
              <w:rPr>
                <w:rFonts w:ascii="Arial" w:hAnsi="Arial" w:cs="Arial"/>
                <w:szCs w:val="24"/>
              </w:rPr>
              <w:t>Total Revenue</w:t>
            </w: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42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0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548" w:type="dxa"/>
          </w:tcPr>
          <w:p w:rsidR="009F214E" w:rsidRPr="00936D89" w:rsidRDefault="009F214E" w:rsidP="00827360">
            <w:pPr>
              <w:pStyle w:val="BodyTextIndent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:rsidR="00D57746" w:rsidRPr="00936D89" w:rsidRDefault="00D57746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</w:p>
    <w:p w:rsidR="00E673EB" w:rsidRPr="00936D89" w:rsidRDefault="00E673EB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</w:p>
    <w:p w:rsidR="00A05559" w:rsidRPr="00936D89" w:rsidRDefault="00A05559" w:rsidP="00827360">
      <w:pPr>
        <w:pStyle w:val="BodyTextIndent"/>
        <w:numPr>
          <w:ilvl w:val="0"/>
          <w:numId w:val="12"/>
        </w:numPr>
        <w:spacing w:line="276" w:lineRule="auto"/>
        <w:ind w:left="0" w:firstLine="0"/>
        <w:rPr>
          <w:rFonts w:ascii="Arial" w:eastAsia="+mn-ea" w:hAnsi="Arial" w:cs="Arial"/>
          <w:b/>
          <w:szCs w:val="24"/>
        </w:rPr>
      </w:pPr>
      <w:r w:rsidRPr="00936D89">
        <w:rPr>
          <w:rFonts w:ascii="Arial" w:eastAsia="+mn-ea" w:hAnsi="Arial" w:cs="Arial"/>
          <w:b/>
          <w:szCs w:val="24"/>
        </w:rPr>
        <w:t xml:space="preserve">Managing variances </w:t>
      </w:r>
    </w:p>
    <w:p w:rsidR="00827360" w:rsidRDefault="00827360" w:rsidP="00827360">
      <w:pPr>
        <w:pStyle w:val="BodyTextIndent"/>
        <w:spacing w:line="276" w:lineRule="auto"/>
        <w:ind w:left="0"/>
        <w:rPr>
          <w:rFonts w:ascii="Arial" w:eastAsia="+mn-ea" w:hAnsi="Arial" w:cs="Arial"/>
          <w:szCs w:val="24"/>
        </w:rPr>
      </w:pPr>
    </w:p>
    <w:p w:rsidR="008E11F3" w:rsidRPr="00936D89" w:rsidRDefault="008E11F3" w:rsidP="00827360">
      <w:pPr>
        <w:pStyle w:val="BodyTextIndent"/>
        <w:spacing w:line="276" w:lineRule="auto"/>
        <w:ind w:left="0"/>
        <w:rPr>
          <w:rFonts w:ascii="Arial" w:eastAsia="+mn-ea" w:hAnsi="Arial" w:cs="Arial"/>
          <w:szCs w:val="24"/>
        </w:rPr>
      </w:pPr>
      <w:r w:rsidRPr="00936D89">
        <w:rPr>
          <w:rFonts w:ascii="Arial" w:eastAsia="+mn-ea" w:hAnsi="Arial" w:cs="Arial"/>
          <w:szCs w:val="24"/>
        </w:rPr>
        <w:t>Revenue variances are primarily three; total revenue variance that is further broken down into volume and price variances. The total revenue variance is the difference between budgeted revenue and actual revenu</w:t>
      </w:r>
      <w:r w:rsidR="00460A85" w:rsidRPr="00936D89">
        <w:rPr>
          <w:rFonts w:ascii="Arial" w:eastAsia="+mn-ea" w:hAnsi="Arial" w:cs="Arial"/>
          <w:szCs w:val="24"/>
        </w:rPr>
        <w:t>e. Revenue (or sales) volume variance is the difference in budgeted quantity and actual quantity at the budgeted price per quantity. (</w:t>
      </w:r>
      <w:r w:rsidR="00460A85" w:rsidRPr="00936D89">
        <w:rPr>
          <w:rFonts w:ascii="Arial" w:eastAsia="+mn-ea" w:hAnsi="Arial" w:cs="Arial"/>
          <w:szCs w:val="24"/>
          <w:u w:val="single"/>
        </w:rPr>
        <w:t xml:space="preserve">Budgeted mileage – actual mileage) x budgeted price per </w:t>
      </w:r>
      <w:proofErr w:type="spellStart"/>
      <w:r w:rsidR="00460A85" w:rsidRPr="00936D89">
        <w:rPr>
          <w:rFonts w:ascii="Arial" w:eastAsia="+mn-ea" w:hAnsi="Arial" w:cs="Arial"/>
          <w:szCs w:val="24"/>
          <w:u w:val="single"/>
        </w:rPr>
        <w:t>kms</w:t>
      </w:r>
      <w:proofErr w:type="spellEnd"/>
      <w:r w:rsidR="00460A85" w:rsidRPr="00936D89">
        <w:rPr>
          <w:rFonts w:ascii="Arial" w:eastAsia="+mn-ea" w:hAnsi="Arial" w:cs="Arial"/>
          <w:szCs w:val="24"/>
        </w:rPr>
        <w:t>.  Stoppages due</w:t>
      </w:r>
      <w:bookmarkStart w:id="0" w:name="_GoBack"/>
      <w:bookmarkEnd w:id="0"/>
      <w:r w:rsidR="00460A85" w:rsidRPr="00936D89">
        <w:rPr>
          <w:rFonts w:ascii="Arial" w:eastAsia="+mn-ea" w:hAnsi="Arial" w:cs="Arial"/>
          <w:szCs w:val="24"/>
        </w:rPr>
        <w:t xml:space="preserve"> to factors such as weather, strikes and machine breakdown will lead to </w:t>
      </w:r>
      <w:r w:rsidR="00D57746" w:rsidRPr="00936D89">
        <w:rPr>
          <w:rFonts w:ascii="Arial" w:eastAsia="+mn-ea" w:hAnsi="Arial" w:cs="Arial"/>
          <w:szCs w:val="24"/>
        </w:rPr>
        <w:t xml:space="preserve">revenue volume variance. </w:t>
      </w:r>
      <w:r w:rsidR="00D57746" w:rsidRPr="00E62AC7">
        <w:rPr>
          <w:rFonts w:ascii="Arial" w:eastAsia="+mn-ea" w:hAnsi="Arial" w:cs="Arial"/>
          <w:szCs w:val="24"/>
        </w:rPr>
        <w:t>Variations will also do the same.</w:t>
      </w:r>
    </w:p>
    <w:p w:rsidR="00460A85" w:rsidRPr="00936D89" w:rsidRDefault="00460A85" w:rsidP="00827360">
      <w:pPr>
        <w:pStyle w:val="BodyTextIndent"/>
        <w:spacing w:line="276" w:lineRule="auto"/>
        <w:ind w:left="0"/>
        <w:rPr>
          <w:rFonts w:ascii="Arial" w:eastAsia="+mn-ea" w:hAnsi="Arial" w:cs="Arial"/>
          <w:szCs w:val="24"/>
        </w:rPr>
      </w:pPr>
      <w:r w:rsidRPr="00936D89">
        <w:rPr>
          <w:rFonts w:ascii="Arial" w:eastAsia="+mn-ea" w:hAnsi="Arial" w:cs="Arial"/>
          <w:szCs w:val="24"/>
        </w:rPr>
        <w:t>Revenue (or sales) price variance is the difference between the budgeted price and the actual price of the actual quantity done. (</w:t>
      </w:r>
      <w:r w:rsidRPr="00936D89">
        <w:rPr>
          <w:rFonts w:ascii="Arial" w:eastAsia="+mn-ea" w:hAnsi="Arial" w:cs="Arial"/>
          <w:szCs w:val="24"/>
          <w:u w:val="single"/>
        </w:rPr>
        <w:t>Budgeted price – actual price) x actual quantity billed</w:t>
      </w:r>
      <w:r w:rsidRPr="00936D89">
        <w:rPr>
          <w:rFonts w:ascii="Arial" w:eastAsia="+mn-ea" w:hAnsi="Arial" w:cs="Arial"/>
          <w:szCs w:val="24"/>
        </w:rPr>
        <w:t>.</w:t>
      </w:r>
      <w:r w:rsidR="0031480F" w:rsidRPr="00936D89">
        <w:rPr>
          <w:rFonts w:ascii="Arial" w:eastAsia="+mn-ea" w:hAnsi="Arial" w:cs="Arial"/>
          <w:szCs w:val="24"/>
        </w:rPr>
        <w:t xml:space="preserve"> Sales price variances will be the responsibility of the bidding team, how competitive they are to bid and to negotiate. If price is cost plus a margin, sales prices will vary with the changes in input prices. Where costs go up, a favourable sales price variance will result while where costs fall an advers</w:t>
      </w:r>
      <w:r w:rsidR="007102EC" w:rsidRPr="00936D89">
        <w:rPr>
          <w:rFonts w:ascii="Arial" w:eastAsia="+mn-ea" w:hAnsi="Arial" w:cs="Arial"/>
          <w:szCs w:val="24"/>
        </w:rPr>
        <w:t>e</w:t>
      </w:r>
      <w:r w:rsidR="0031480F" w:rsidRPr="00936D89">
        <w:rPr>
          <w:rFonts w:ascii="Arial" w:eastAsia="+mn-ea" w:hAnsi="Arial" w:cs="Arial"/>
          <w:szCs w:val="24"/>
        </w:rPr>
        <w:t xml:space="preserve"> sales price variance will result.  (Note that the </w:t>
      </w:r>
      <w:r w:rsidR="009E0157" w:rsidRPr="00936D89">
        <w:rPr>
          <w:rFonts w:ascii="Arial" w:eastAsia="+mn-ea" w:hAnsi="Arial" w:cs="Arial"/>
          <w:szCs w:val="24"/>
        </w:rPr>
        <w:t>input</w:t>
      </w:r>
      <w:r w:rsidR="0031480F" w:rsidRPr="00936D89">
        <w:rPr>
          <w:rFonts w:ascii="Arial" w:eastAsia="+mn-ea" w:hAnsi="Arial" w:cs="Arial"/>
          <w:szCs w:val="24"/>
        </w:rPr>
        <w:t xml:space="preserve"> cost variance will be the opposite of the sales price variance, when one is adverse the other is favourable</w:t>
      </w:r>
      <w:r w:rsidR="009E0157" w:rsidRPr="00936D89">
        <w:rPr>
          <w:rFonts w:ascii="Arial" w:eastAsia="+mn-ea" w:hAnsi="Arial" w:cs="Arial"/>
          <w:szCs w:val="24"/>
        </w:rPr>
        <w:t>.</w:t>
      </w:r>
      <w:r w:rsidR="0031480F" w:rsidRPr="00936D89">
        <w:rPr>
          <w:rFonts w:ascii="Arial" w:eastAsia="+mn-ea" w:hAnsi="Arial" w:cs="Arial"/>
          <w:szCs w:val="24"/>
        </w:rPr>
        <w:t>)</w:t>
      </w:r>
    </w:p>
    <w:p w:rsidR="00460A85" w:rsidRPr="00936D89" w:rsidRDefault="00460A85" w:rsidP="00827360">
      <w:pPr>
        <w:pStyle w:val="BodyTextIndent"/>
        <w:spacing w:line="276" w:lineRule="auto"/>
        <w:ind w:left="0"/>
        <w:rPr>
          <w:rFonts w:ascii="Arial" w:eastAsia="+mn-ea" w:hAnsi="Arial" w:cs="Arial"/>
          <w:b/>
          <w:szCs w:val="24"/>
        </w:rPr>
      </w:pPr>
    </w:p>
    <w:p w:rsidR="00E228D7" w:rsidRPr="00936D89" w:rsidRDefault="00A05559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  <w:r w:rsidRPr="00936D89">
        <w:rPr>
          <w:rFonts w:ascii="Arial" w:hAnsi="Arial" w:cs="Arial"/>
          <w:szCs w:val="24"/>
        </w:rPr>
        <w:t xml:space="preserve">Some events may be controllable by administrators, such as </w:t>
      </w:r>
      <w:r w:rsidR="00460A85" w:rsidRPr="00936D89">
        <w:rPr>
          <w:rFonts w:ascii="Arial" w:hAnsi="Arial" w:cs="Arial"/>
          <w:szCs w:val="24"/>
        </w:rPr>
        <w:t>the quantity of work done, stoppage time and speed of construction</w:t>
      </w:r>
      <w:r w:rsidRPr="00936D89">
        <w:rPr>
          <w:rFonts w:ascii="Arial" w:hAnsi="Arial" w:cs="Arial"/>
          <w:szCs w:val="24"/>
        </w:rPr>
        <w:t xml:space="preserve">. This is where a greater focus should be laid. </w:t>
      </w:r>
      <w:r w:rsidR="00E228D7" w:rsidRPr="00936D89">
        <w:rPr>
          <w:rFonts w:ascii="Arial" w:hAnsi="Arial" w:cs="Arial"/>
          <w:szCs w:val="24"/>
        </w:rPr>
        <w:t xml:space="preserve">External sources of budget variance </w:t>
      </w:r>
      <w:r w:rsidR="00460A85" w:rsidRPr="00936D89">
        <w:rPr>
          <w:rFonts w:ascii="Arial" w:hAnsi="Arial" w:cs="Arial"/>
          <w:szCs w:val="24"/>
        </w:rPr>
        <w:t xml:space="preserve">such as weather or price </w:t>
      </w:r>
      <w:r w:rsidR="00E228D7" w:rsidRPr="00936D89">
        <w:rPr>
          <w:rFonts w:ascii="Arial" w:hAnsi="Arial" w:cs="Arial"/>
          <w:szCs w:val="24"/>
        </w:rPr>
        <w:t>are usually less controllable than internal sources.</w:t>
      </w:r>
      <w:r w:rsidRPr="00936D89">
        <w:rPr>
          <w:rFonts w:ascii="Arial" w:hAnsi="Arial" w:cs="Arial"/>
          <w:szCs w:val="24"/>
        </w:rPr>
        <w:t xml:space="preserve"> </w:t>
      </w:r>
    </w:p>
    <w:p w:rsidR="00A05559" w:rsidRPr="00936D89" w:rsidRDefault="00460A85" w:rsidP="00827360">
      <w:pPr>
        <w:pStyle w:val="BodyTextIndent"/>
        <w:spacing w:line="276" w:lineRule="auto"/>
        <w:ind w:left="0"/>
        <w:rPr>
          <w:rFonts w:ascii="Arial" w:hAnsi="Arial" w:cs="Arial"/>
          <w:szCs w:val="24"/>
        </w:rPr>
      </w:pPr>
      <w:r w:rsidRPr="00936D89">
        <w:rPr>
          <w:rFonts w:ascii="Arial" w:hAnsi="Arial" w:cs="Arial"/>
          <w:szCs w:val="24"/>
        </w:rPr>
        <w:t>For revenue control therefore, management should focus on controllable factor</w:t>
      </w:r>
      <w:r w:rsidR="002D6DE9">
        <w:rPr>
          <w:rFonts w:ascii="Arial" w:hAnsi="Arial" w:cs="Arial"/>
          <w:szCs w:val="24"/>
        </w:rPr>
        <w:t>s</w:t>
      </w:r>
      <w:r w:rsidRPr="00936D89">
        <w:rPr>
          <w:rFonts w:ascii="Arial" w:hAnsi="Arial" w:cs="Arial"/>
          <w:szCs w:val="24"/>
        </w:rPr>
        <w:t xml:space="preserve"> to avoid adverse revenue variances.</w:t>
      </w:r>
    </w:p>
    <w:p w:rsidR="009F214E" w:rsidRPr="00936D89" w:rsidRDefault="009F214E" w:rsidP="00827360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05559" w:rsidRPr="00936D89" w:rsidRDefault="00A05559" w:rsidP="00827360">
      <w:pPr>
        <w:pStyle w:val="ListParagraph"/>
        <w:numPr>
          <w:ilvl w:val="0"/>
          <w:numId w:val="12"/>
        </w:num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>Major Constraints</w:t>
      </w:r>
    </w:p>
    <w:p w:rsidR="00D57746" w:rsidRPr="00827360" w:rsidRDefault="00D57746" w:rsidP="0082736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 xml:space="preserve">Delays in </w:t>
      </w:r>
      <w:proofErr w:type="gramStart"/>
      <w:r w:rsidRPr="00827360">
        <w:rPr>
          <w:rFonts w:ascii="Arial" w:hAnsi="Arial" w:cs="Arial"/>
          <w:sz w:val="24"/>
          <w:szCs w:val="24"/>
        </w:rPr>
        <w:t>concluding  works</w:t>
      </w:r>
      <w:proofErr w:type="gramEnd"/>
      <w:r w:rsidRPr="00827360">
        <w:rPr>
          <w:rFonts w:ascii="Arial" w:hAnsi="Arial" w:cs="Arial"/>
          <w:sz w:val="24"/>
          <w:szCs w:val="24"/>
        </w:rPr>
        <w:t xml:space="preserve"> contracts</w:t>
      </w:r>
      <w:r w:rsidR="00A05559" w:rsidRPr="00827360">
        <w:rPr>
          <w:rFonts w:ascii="Arial" w:hAnsi="Arial" w:cs="Arial"/>
          <w:sz w:val="24"/>
          <w:szCs w:val="24"/>
        </w:rPr>
        <w:t>,</w:t>
      </w:r>
    </w:p>
    <w:p w:rsidR="00A05559" w:rsidRPr="00827360" w:rsidRDefault="00D57746" w:rsidP="0082736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>Forecasting of potential contracts</w:t>
      </w:r>
      <w:r w:rsidR="00A05559" w:rsidRPr="00827360">
        <w:rPr>
          <w:rFonts w:ascii="Arial" w:hAnsi="Arial" w:cs="Arial"/>
          <w:sz w:val="24"/>
          <w:szCs w:val="24"/>
        </w:rPr>
        <w:t xml:space="preserve"> </w:t>
      </w:r>
      <w:r w:rsidR="0031480F" w:rsidRPr="00827360">
        <w:rPr>
          <w:rFonts w:ascii="Arial" w:hAnsi="Arial" w:cs="Arial"/>
          <w:sz w:val="24"/>
          <w:szCs w:val="24"/>
        </w:rPr>
        <w:t>in open bidding</w:t>
      </w:r>
    </w:p>
    <w:p w:rsidR="00A05559" w:rsidRPr="00827360" w:rsidRDefault="005A2635" w:rsidP="0082736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>E</w:t>
      </w:r>
      <w:r w:rsidR="00A05559" w:rsidRPr="00827360">
        <w:rPr>
          <w:rFonts w:ascii="Arial" w:hAnsi="Arial" w:cs="Arial"/>
          <w:sz w:val="24"/>
          <w:szCs w:val="24"/>
        </w:rPr>
        <w:t xml:space="preserve">stimation of </w:t>
      </w:r>
      <w:r w:rsidR="00D57746" w:rsidRPr="00827360">
        <w:rPr>
          <w:rFonts w:ascii="Arial" w:hAnsi="Arial" w:cs="Arial"/>
          <w:sz w:val="24"/>
          <w:szCs w:val="24"/>
        </w:rPr>
        <w:t>completed works for invoicing</w:t>
      </w:r>
    </w:p>
    <w:p w:rsidR="00A05559" w:rsidRPr="00827360" w:rsidRDefault="005A2635" w:rsidP="0082736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>A</w:t>
      </w:r>
      <w:r w:rsidR="00A05559" w:rsidRPr="00827360">
        <w:rPr>
          <w:rFonts w:ascii="Arial" w:hAnsi="Arial" w:cs="Arial"/>
          <w:sz w:val="24"/>
          <w:szCs w:val="24"/>
        </w:rPr>
        <w:t>pproval of work variations</w:t>
      </w:r>
    </w:p>
    <w:p w:rsidR="00A05559" w:rsidRPr="00827360" w:rsidRDefault="0031480F" w:rsidP="0082736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>Timing of when payment may be done</w:t>
      </w:r>
    </w:p>
    <w:p w:rsidR="00A05559" w:rsidRPr="00827360" w:rsidRDefault="005A2635" w:rsidP="00827360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>D</w:t>
      </w:r>
      <w:r w:rsidR="00A05559" w:rsidRPr="00827360">
        <w:rPr>
          <w:rFonts w:ascii="Arial" w:hAnsi="Arial" w:cs="Arial"/>
          <w:sz w:val="24"/>
          <w:szCs w:val="24"/>
        </w:rPr>
        <w:t xml:space="preserve">elays resulting </w:t>
      </w:r>
      <w:r w:rsidR="00D57746" w:rsidRPr="00827360">
        <w:rPr>
          <w:rFonts w:ascii="Arial" w:hAnsi="Arial" w:cs="Arial"/>
          <w:sz w:val="24"/>
          <w:szCs w:val="24"/>
        </w:rPr>
        <w:t xml:space="preserve">from nature, industrial action, stock outs and machine </w:t>
      </w:r>
      <w:proofErr w:type="gramStart"/>
      <w:r w:rsidR="00D57746" w:rsidRPr="00827360">
        <w:rPr>
          <w:rFonts w:ascii="Arial" w:hAnsi="Arial" w:cs="Arial"/>
          <w:sz w:val="24"/>
          <w:szCs w:val="24"/>
        </w:rPr>
        <w:t>break downs</w:t>
      </w:r>
      <w:proofErr w:type="gramEnd"/>
      <w:r w:rsidR="00D57746" w:rsidRPr="00827360">
        <w:rPr>
          <w:rFonts w:ascii="Arial" w:hAnsi="Arial" w:cs="Arial"/>
          <w:sz w:val="24"/>
          <w:szCs w:val="24"/>
        </w:rPr>
        <w:t xml:space="preserve">.  </w:t>
      </w:r>
    </w:p>
    <w:p w:rsidR="00A0637B" w:rsidRPr="00936D89" w:rsidRDefault="00A0637B" w:rsidP="0082736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312CD" w:rsidRPr="00936D89" w:rsidRDefault="002312CD" w:rsidP="0082736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637B" w:rsidRPr="00936D89" w:rsidRDefault="007102EC" w:rsidP="00827360">
      <w:pPr>
        <w:pStyle w:val="ListParagraph"/>
        <w:numPr>
          <w:ilvl w:val="0"/>
          <w:numId w:val="12"/>
        </w:num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>Revenue variances and profits</w:t>
      </w:r>
    </w:p>
    <w:p w:rsidR="00A0637B" w:rsidRDefault="007102EC" w:rsidP="008273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6D89">
        <w:rPr>
          <w:rFonts w:ascii="Arial" w:hAnsi="Arial" w:cs="Arial"/>
          <w:sz w:val="24"/>
          <w:szCs w:val="24"/>
        </w:rPr>
        <w:t>Revenue variances directly impact on budgeted profit. An</w:t>
      </w:r>
      <w:r w:rsidR="00936D89" w:rsidRPr="00936D89">
        <w:rPr>
          <w:rFonts w:ascii="Arial" w:hAnsi="Arial" w:cs="Arial"/>
          <w:sz w:val="24"/>
          <w:szCs w:val="24"/>
        </w:rPr>
        <w:t xml:space="preserve"> </w:t>
      </w:r>
      <w:r w:rsidRPr="00936D89">
        <w:rPr>
          <w:rFonts w:ascii="Arial" w:hAnsi="Arial" w:cs="Arial"/>
          <w:sz w:val="24"/>
          <w:szCs w:val="24"/>
        </w:rPr>
        <w:t>adverse revenue variance</w:t>
      </w:r>
      <w:r w:rsidR="002D6DE9">
        <w:rPr>
          <w:rFonts w:ascii="Arial" w:hAnsi="Arial" w:cs="Arial"/>
          <w:sz w:val="24"/>
          <w:szCs w:val="24"/>
        </w:rPr>
        <w:t xml:space="preserve"> </w:t>
      </w:r>
      <w:r w:rsidRPr="00936D89">
        <w:rPr>
          <w:rFonts w:ascii="Arial" w:hAnsi="Arial" w:cs="Arial"/>
          <w:sz w:val="24"/>
          <w:szCs w:val="24"/>
        </w:rPr>
        <w:t>reduces budgeted profit by the same amount and a favourable revenue variance increases profits by the same amount.</w:t>
      </w:r>
    </w:p>
    <w:p w:rsidR="002D6DE9" w:rsidRPr="00936D89" w:rsidRDefault="002D6DE9" w:rsidP="008273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637B" w:rsidRPr="00936D89" w:rsidRDefault="009E0157" w:rsidP="00827360">
      <w:pPr>
        <w:pStyle w:val="ListParagraph"/>
        <w:numPr>
          <w:ilvl w:val="0"/>
          <w:numId w:val="12"/>
        </w:num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 xml:space="preserve">Projection </w:t>
      </w:r>
      <w:r w:rsidR="00A0637B" w:rsidRPr="00936D89">
        <w:rPr>
          <w:rFonts w:ascii="Arial" w:hAnsi="Arial" w:cs="Arial"/>
          <w:b/>
          <w:sz w:val="24"/>
          <w:szCs w:val="24"/>
        </w:rPr>
        <w:t>of revenues</w:t>
      </w:r>
      <w:r w:rsidRPr="00936D89">
        <w:rPr>
          <w:rFonts w:ascii="Arial" w:hAnsi="Arial" w:cs="Arial"/>
          <w:b/>
          <w:sz w:val="24"/>
          <w:szCs w:val="24"/>
        </w:rPr>
        <w:t xml:space="preserve"> format </w:t>
      </w:r>
      <w:r w:rsidR="00A0637B" w:rsidRPr="00936D89">
        <w:rPr>
          <w:rFonts w:ascii="Arial" w:hAnsi="Arial" w:cs="Arial"/>
          <w:b/>
          <w:sz w:val="24"/>
          <w:szCs w:val="24"/>
        </w:rPr>
        <w:t xml:space="preserve"> </w:t>
      </w:r>
    </w:p>
    <w:p w:rsidR="00A0637B" w:rsidRPr="00936D89" w:rsidRDefault="00A0637B" w:rsidP="0082736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64"/>
        <w:gridCol w:w="1567"/>
        <w:gridCol w:w="1618"/>
        <w:gridCol w:w="1618"/>
        <w:gridCol w:w="1527"/>
        <w:gridCol w:w="1482"/>
      </w:tblGrid>
      <w:tr w:rsidR="00A0637B" w:rsidRPr="00936D89">
        <w:tc>
          <w:tcPr>
            <w:tcW w:w="1764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D89">
              <w:rPr>
                <w:rFonts w:ascii="Arial" w:hAnsi="Arial" w:cs="Arial"/>
                <w:b/>
                <w:sz w:val="24"/>
                <w:szCs w:val="24"/>
              </w:rPr>
              <w:t xml:space="preserve">Source </w:t>
            </w:r>
          </w:p>
        </w:tc>
        <w:tc>
          <w:tcPr>
            <w:tcW w:w="1567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D89">
              <w:rPr>
                <w:rFonts w:ascii="Arial" w:hAnsi="Arial" w:cs="Arial"/>
                <w:b/>
                <w:sz w:val="24"/>
                <w:szCs w:val="24"/>
              </w:rPr>
              <w:t>Yr 1</w:t>
            </w:r>
          </w:p>
        </w:tc>
        <w:tc>
          <w:tcPr>
            <w:tcW w:w="1618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D89">
              <w:rPr>
                <w:rFonts w:ascii="Arial" w:hAnsi="Arial" w:cs="Arial"/>
                <w:b/>
                <w:sz w:val="24"/>
                <w:szCs w:val="24"/>
              </w:rPr>
              <w:t>Yr2</w:t>
            </w:r>
          </w:p>
        </w:tc>
        <w:tc>
          <w:tcPr>
            <w:tcW w:w="1618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D89">
              <w:rPr>
                <w:rFonts w:ascii="Arial" w:hAnsi="Arial" w:cs="Arial"/>
                <w:b/>
                <w:sz w:val="24"/>
                <w:szCs w:val="24"/>
              </w:rPr>
              <w:t>Yr3</w:t>
            </w:r>
          </w:p>
        </w:tc>
        <w:tc>
          <w:tcPr>
            <w:tcW w:w="1527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D89">
              <w:rPr>
                <w:rFonts w:ascii="Arial" w:hAnsi="Arial" w:cs="Arial"/>
                <w:b/>
                <w:sz w:val="24"/>
                <w:szCs w:val="24"/>
              </w:rPr>
              <w:t>Yr 4</w:t>
            </w:r>
          </w:p>
        </w:tc>
        <w:tc>
          <w:tcPr>
            <w:tcW w:w="1482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6D89">
              <w:rPr>
                <w:rFonts w:ascii="Arial" w:hAnsi="Arial" w:cs="Arial"/>
                <w:b/>
                <w:sz w:val="24"/>
                <w:szCs w:val="24"/>
              </w:rPr>
              <w:t>Yr 5</w:t>
            </w:r>
          </w:p>
        </w:tc>
      </w:tr>
      <w:tr w:rsidR="00A0637B" w:rsidRPr="00936D89">
        <w:tc>
          <w:tcPr>
            <w:tcW w:w="1764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637B" w:rsidRPr="00936D89">
        <w:tc>
          <w:tcPr>
            <w:tcW w:w="1764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637B" w:rsidRPr="00936D89" w:rsidRDefault="00A0637B" w:rsidP="0082736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0637B" w:rsidRPr="00936D89" w:rsidRDefault="00A0637B" w:rsidP="00827360">
      <w:pPr>
        <w:pStyle w:val="ListParagraph"/>
        <w:numPr>
          <w:ilvl w:val="0"/>
          <w:numId w:val="12"/>
        </w:num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 xml:space="preserve">Annual </w:t>
      </w:r>
      <w:r w:rsidR="009E0157" w:rsidRPr="00936D89">
        <w:rPr>
          <w:rFonts w:ascii="Arial" w:hAnsi="Arial" w:cs="Arial"/>
          <w:b/>
          <w:sz w:val="24"/>
          <w:szCs w:val="24"/>
        </w:rPr>
        <w:t xml:space="preserve">revenue </w:t>
      </w:r>
      <w:r w:rsidRPr="00936D89">
        <w:rPr>
          <w:rFonts w:ascii="Arial" w:hAnsi="Arial" w:cs="Arial"/>
          <w:b/>
          <w:sz w:val="24"/>
          <w:szCs w:val="24"/>
        </w:rPr>
        <w:t>variance analysis</w:t>
      </w:r>
      <w:r w:rsidR="009E0157" w:rsidRPr="00936D89">
        <w:rPr>
          <w:rFonts w:ascii="Arial" w:hAnsi="Arial" w:cs="Arial"/>
          <w:b/>
          <w:sz w:val="24"/>
          <w:szCs w:val="24"/>
        </w:rPr>
        <w:t xml:space="preserve"> format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9E0157" w:rsidRPr="00936D89"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 xml:space="preserve">Source </w:t>
            </w:r>
          </w:p>
        </w:tc>
        <w:tc>
          <w:tcPr>
            <w:tcW w:w="1596" w:type="dxa"/>
          </w:tcPr>
          <w:p w:rsidR="00A0637B" w:rsidRPr="00936D89" w:rsidRDefault="009E0157" w:rsidP="0082736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Contract 1</w:t>
            </w:r>
          </w:p>
        </w:tc>
        <w:tc>
          <w:tcPr>
            <w:tcW w:w="1596" w:type="dxa"/>
          </w:tcPr>
          <w:p w:rsidR="00A0637B" w:rsidRPr="00936D89" w:rsidRDefault="009E0157" w:rsidP="0082736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Contract 2</w:t>
            </w:r>
          </w:p>
        </w:tc>
        <w:tc>
          <w:tcPr>
            <w:tcW w:w="1596" w:type="dxa"/>
          </w:tcPr>
          <w:p w:rsidR="00A0637B" w:rsidRPr="00936D89" w:rsidRDefault="009E0157" w:rsidP="0082736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Contract 3</w:t>
            </w:r>
          </w:p>
        </w:tc>
        <w:tc>
          <w:tcPr>
            <w:tcW w:w="1596" w:type="dxa"/>
          </w:tcPr>
          <w:p w:rsidR="00A0637B" w:rsidRPr="00936D89" w:rsidRDefault="009E0157" w:rsidP="0082736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Contract 4</w:t>
            </w:r>
          </w:p>
        </w:tc>
        <w:tc>
          <w:tcPr>
            <w:tcW w:w="1596" w:type="dxa"/>
          </w:tcPr>
          <w:p w:rsidR="00A0637B" w:rsidRPr="00936D89" w:rsidRDefault="009E0157" w:rsidP="0082736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9E0157" w:rsidRPr="00936D89">
        <w:tc>
          <w:tcPr>
            <w:tcW w:w="1596" w:type="dxa"/>
          </w:tcPr>
          <w:p w:rsidR="00A0637B" w:rsidRPr="00936D89" w:rsidRDefault="009E0157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Budgeted Revenue</w:t>
            </w:r>
          </w:p>
        </w:tc>
        <w:tc>
          <w:tcPr>
            <w:tcW w:w="1596" w:type="dxa"/>
          </w:tcPr>
          <w:p w:rsidR="00A0637B" w:rsidRPr="00936D89" w:rsidRDefault="007B6567" w:rsidP="008273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157" w:rsidRPr="00936D89">
        <w:tc>
          <w:tcPr>
            <w:tcW w:w="1596" w:type="dxa"/>
          </w:tcPr>
          <w:p w:rsidR="00A0637B" w:rsidRPr="00936D89" w:rsidRDefault="009E0157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Volume Variance</w:t>
            </w:r>
          </w:p>
        </w:tc>
        <w:tc>
          <w:tcPr>
            <w:tcW w:w="1596" w:type="dxa"/>
          </w:tcPr>
          <w:p w:rsidR="00A0637B" w:rsidRPr="00936D89" w:rsidRDefault="007B6567" w:rsidP="008273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157" w:rsidRPr="00936D89">
        <w:tc>
          <w:tcPr>
            <w:tcW w:w="1596" w:type="dxa"/>
          </w:tcPr>
          <w:p w:rsidR="009E0157" w:rsidRPr="00936D89" w:rsidDel="009E0157" w:rsidRDefault="009E0157" w:rsidP="00827360">
            <w:pPr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Price Variance</w:t>
            </w:r>
          </w:p>
        </w:tc>
        <w:tc>
          <w:tcPr>
            <w:tcW w:w="1596" w:type="dxa"/>
          </w:tcPr>
          <w:p w:rsidR="009E0157" w:rsidRPr="00936D89" w:rsidRDefault="007B6567" w:rsidP="00827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596" w:type="dxa"/>
          </w:tcPr>
          <w:p w:rsidR="009E0157" w:rsidRPr="00936D89" w:rsidRDefault="009E015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9E0157" w:rsidRPr="00936D89" w:rsidRDefault="009E015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9E0157" w:rsidRPr="00936D89" w:rsidRDefault="009E015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9E0157" w:rsidRPr="00936D89" w:rsidRDefault="009E015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0157" w:rsidRPr="00936D89">
        <w:tc>
          <w:tcPr>
            <w:tcW w:w="1596" w:type="dxa"/>
          </w:tcPr>
          <w:p w:rsidR="00A0637B" w:rsidRPr="00936D89" w:rsidRDefault="00ED659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Total variance (</w:t>
            </w:r>
            <w:r w:rsidR="009E0157" w:rsidRPr="00936D89">
              <w:rPr>
                <w:rFonts w:ascii="Arial" w:hAnsi="Arial" w:cs="Arial"/>
                <w:sz w:val="24"/>
                <w:szCs w:val="24"/>
              </w:rPr>
              <w:t>Impact on profit</w:t>
            </w:r>
            <w:r w:rsidRPr="00936D89">
              <w:rPr>
                <w:rFonts w:ascii="Arial" w:hAnsi="Arial" w:cs="Arial"/>
                <w:sz w:val="24"/>
                <w:szCs w:val="24"/>
              </w:rPr>
              <w:t>)</w:t>
            </w:r>
            <w:r w:rsidR="00A0637B" w:rsidRPr="00936D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A0637B" w:rsidRPr="00936D89" w:rsidRDefault="007102EC" w:rsidP="008273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89" w:rsidDel="007102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567" w:rsidRPr="00936D89">
              <w:rPr>
                <w:rFonts w:ascii="Arial" w:hAnsi="Arial" w:cs="Arial"/>
                <w:sz w:val="24"/>
                <w:szCs w:val="24"/>
              </w:rPr>
              <w:t>(B+C)</w:t>
            </w: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A0637B" w:rsidRPr="00936D89" w:rsidRDefault="00A0637B" w:rsidP="008273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567" w:rsidRPr="00936D89">
        <w:tc>
          <w:tcPr>
            <w:tcW w:w="1596" w:type="dxa"/>
          </w:tcPr>
          <w:p w:rsidR="007B6567" w:rsidRPr="00936D89" w:rsidRDefault="007B6567" w:rsidP="00827360">
            <w:pPr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Actual revenue</w:t>
            </w:r>
          </w:p>
        </w:tc>
        <w:tc>
          <w:tcPr>
            <w:tcW w:w="1596" w:type="dxa"/>
          </w:tcPr>
          <w:p w:rsidR="007B6567" w:rsidRPr="00936D89" w:rsidRDefault="007B6567" w:rsidP="00827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D89">
              <w:rPr>
                <w:rFonts w:ascii="Arial" w:hAnsi="Arial" w:cs="Arial"/>
                <w:sz w:val="24"/>
                <w:szCs w:val="24"/>
              </w:rPr>
              <w:t>(A+B+C)</w:t>
            </w:r>
          </w:p>
        </w:tc>
        <w:tc>
          <w:tcPr>
            <w:tcW w:w="1596" w:type="dxa"/>
          </w:tcPr>
          <w:p w:rsidR="007B6567" w:rsidRPr="00936D89" w:rsidRDefault="007B656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B6567" w:rsidRPr="00936D89" w:rsidRDefault="007B656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B6567" w:rsidRPr="00936D89" w:rsidRDefault="007B656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B6567" w:rsidRPr="00936D89" w:rsidRDefault="007B6567" w:rsidP="00827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637B" w:rsidRPr="00936D89" w:rsidRDefault="00A0637B" w:rsidP="008273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637B" w:rsidRPr="00936D89" w:rsidRDefault="00A0637B" w:rsidP="00827360">
      <w:pPr>
        <w:pStyle w:val="ListParagraph"/>
        <w:numPr>
          <w:ilvl w:val="0"/>
          <w:numId w:val="12"/>
        </w:numPr>
        <w:spacing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36D89">
        <w:rPr>
          <w:rFonts w:ascii="Arial" w:hAnsi="Arial" w:cs="Arial"/>
          <w:b/>
          <w:sz w:val="24"/>
          <w:szCs w:val="24"/>
        </w:rPr>
        <w:t xml:space="preserve">Group activity </w:t>
      </w:r>
      <w:r w:rsidR="007B6567" w:rsidRPr="00936D89">
        <w:rPr>
          <w:rFonts w:ascii="Arial" w:hAnsi="Arial" w:cs="Arial"/>
          <w:b/>
          <w:sz w:val="24"/>
          <w:szCs w:val="24"/>
        </w:rPr>
        <w:t>(All)</w:t>
      </w:r>
    </w:p>
    <w:p w:rsidR="00A0637B" w:rsidRPr="00936D89" w:rsidRDefault="00A0637B" w:rsidP="008273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6567" w:rsidRPr="00827360" w:rsidRDefault="007B6567" w:rsidP="00827360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>Analyze the causes of revenue variances for the provided case.</w:t>
      </w:r>
    </w:p>
    <w:p w:rsidR="007B6567" w:rsidRPr="00827360" w:rsidRDefault="007B6567" w:rsidP="00827360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827360">
        <w:rPr>
          <w:rFonts w:ascii="Arial" w:hAnsi="Arial" w:cs="Arial"/>
          <w:sz w:val="24"/>
          <w:szCs w:val="24"/>
        </w:rPr>
        <w:t xml:space="preserve">Identify revenue variances that are uncontrollable and controllable under the provided case and from your experience. </w:t>
      </w:r>
    </w:p>
    <w:p w:rsidR="00A0637B" w:rsidRPr="007B6567" w:rsidRDefault="00A0637B" w:rsidP="00E673EB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A0637B" w:rsidRPr="007B6567" w:rsidSect="00260B05">
      <w:headerReference w:type="default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85B17" w:rsidRDefault="00185B17" w:rsidP="00953213">
      <w:pPr>
        <w:spacing w:after="0" w:line="240" w:lineRule="auto"/>
      </w:pPr>
      <w:r>
        <w:separator/>
      </w:r>
    </w:p>
  </w:endnote>
  <w:endnote w:type="continuationSeparator" w:id="1">
    <w:p w:rsidR="00185B17" w:rsidRDefault="00185B17" w:rsidP="0095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D6DE9" w:rsidRDefault="002D6DE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Hand</w:t>
    </w:r>
    <w:r w:rsidR="00EA0AC3">
      <w:rPr>
        <w:rFonts w:asciiTheme="majorHAnsi" w:hAnsiTheme="majorHAnsi"/>
      </w:rPr>
      <w:t>o</w:t>
    </w:r>
    <w:r>
      <w:rPr>
        <w:rFonts w:asciiTheme="majorHAnsi" w:hAnsiTheme="majorHAnsi"/>
      </w:rPr>
      <w:t>ut/M3/S4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27360" w:rsidRPr="00827360">
        <w:rPr>
          <w:rFonts w:asciiTheme="majorHAnsi" w:hAnsiTheme="majorHAnsi"/>
          <w:noProof/>
        </w:rPr>
        <w:t>3</w:t>
      </w:r>
    </w:fldSimple>
  </w:p>
  <w:p w:rsidR="00B66C64" w:rsidRDefault="00B66C64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85B17" w:rsidRDefault="00185B17" w:rsidP="00953213">
      <w:pPr>
        <w:spacing w:after="0" w:line="240" w:lineRule="auto"/>
      </w:pPr>
      <w:r>
        <w:separator/>
      </w:r>
    </w:p>
  </w:footnote>
  <w:footnote w:type="continuationSeparator" w:id="1">
    <w:p w:rsidR="00185B17" w:rsidRDefault="00185B17" w:rsidP="0095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673EB" w:rsidRDefault="002A4BAF">
    <w:pPr>
      <w:pStyle w:val="Header"/>
    </w:pPr>
    <w:r w:rsidRPr="002A4BAF">
      <w:rPr>
        <w:rFonts w:ascii="Constantia" w:hAnsi="Constantia"/>
        <w:i/>
        <w:noProof/>
        <w:sz w:val="20"/>
        <w:szCs w:val="20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2049" type="#_x0000_t202" style="position:absolute;margin-left:-39.75pt;margin-top:-32.5pt;width:547.5pt;height:69.6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" fillcolor="white [3201]" stroked="f" strokeweight="2pt">
          <v:textbox style="mso-fit-shape-to-text:t">
            <w:txbxContent>
              <w:p w:rsidR="00E673EB" w:rsidRDefault="00E673EB" w:rsidP="00E673EB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Pr="00885FB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Training in Financial &amp; Business Management for Road </w:t>
                </w:r>
                <w:proofErr w:type="gramStart"/>
                <w:r w:rsidRPr="00885FB6">
                  <w:rPr>
                    <w:rFonts w:ascii="Arial" w:hAnsi="Arial" w:cs="Arial"/>
                    <w:i/>
                    <w:sz w:val="20"/>
                    <w:szCs w:val="20"/>
                  </w:rPr>
                  <w:t>Contractors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</w:t>
                </w:r>
                <w:r w:rsidR="002D6DE9"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 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proofErr w:type="gramEnd"/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71600" cy="403860"/>
                      <wp:effectExtent l="0" t="0" r="0" b="0"/>
                      <wp:docPr id="12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673EB" w:rsidRDefault="00E673E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BFA7AB0"/>
    <w:multiLevelType w:val="hybridMultilevel"/>
    <w:tmpl w:val="2CC024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48D7"/>
    <w:multiLevelType w:val="hybridMultilevel"/>
    <w:tmpl w:val="24BA7F5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20F90"/>
    <w:multiLevelType w:val="hybridMultilevel"/>
    <w:tmpl w:val="986ABC46"/>
    <w:lvl w:ilvl="0" w:tplc="6F12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45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6E5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2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F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8E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F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24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443AB0"/>
    <w:multiLevelType w:val="hybridMultilevel"/>
    <w:tmpl w:val="3E22EC1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D44537"/>
    <w:multiLevelType w:val="hybridMultilevel"/>
    <w:tmpl w:val="D55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70AA7"/>
    <w:multiLevelType w:val="hybridMultilevel"/>
    <w:tmpl w:val="A8124D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21EE8"/>
    <w:multiLevelType w:val="hybridMultilevel"/>
    <w:tmpl w:val="F33853C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83D63"/>
    <w:multiLevelType w:val="hybridMultilevel"/>
    <w:tmpl w:val="652A9148"/>
    <w:lvl w:ilvl="0" w:tplc="E26A8E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19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A48D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6C7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4F5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E84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71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42B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8C5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35243"/>
    <w:multiLevelType w:val="hybridMultilevel"/>
    <w:tmpl w:val="21DE9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6266A"/>
    <w:multiLevelType w:val="hybridMultilevel"/>
    <w:tmpl w:val="BF107918"/>
    <w:lvl w:ilvl="0" w:tplc="40B0F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BC0FD7"/>
    <w:multiLevelType w:val="hybridMultilevel"/>
    <w:tmpl w:val="9618A40E"/>
    <w:lvl w:ilvl="0" w:tplc="40B0F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EB1F31"/>
    <w:multiLevelType w:val="hybridMultilevel"/>
    <w:tmpl w:val="A884540E"/>
    <w:lvl w:ilvl="0" w:tplc="09B4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66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E5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2A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0B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8A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02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04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C6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701368"/>
    <w:multiLevelType w:val="hybridMultilevel"/>
    <w:tmpl w:val="53401762"/>
    <w:lvl w:ilvl="0" w:tplc="40B0F9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51397B"/>
    <w:multiLevelType w:val="hybridMultilevel"/>
    <w:tmpl w:val="C92669F6"/>
    <w:lvl w:ilvl="0" w:tplc="9EBAD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6C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4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6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A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2D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4F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EE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EF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4B6B"/>
    <w:rsid w:val="000007B2"/>
    <w:rsid w:val="00110317"/>
    <w:rsid w:val="00185B17"/>
    <w:rsid w:val="001C7623"/>
    <w:rsid w:val="002312CD"/>
    <w:rsid w:val="00260B05"/>
    <w:rsid w:val="002A4BAF"/>
    <w:rsid w:val="002D1F21"/>
    <w:rsid w:val="002D6DE9"/>
    <w:rsid w:val="0031480F"/>
    <w:rsid w:val="00404B6B"/>
    <w:rsid w:val="00460A85"/>
    <w:rsid w:val="004870BF"/>
    <w:rsid w:val="004B7420"/>
    <w:rsid w:val="005A2635"/>
    <w:rsid w:val="007102EC"/>
    <w:rsid w:val="007A4672"/>
    <w:rsid w:val="007B6567"/>
    <w:rsid w:val="00827360"/>
    <w:rsid w:val="00852925"/>
    <w:rsid w:val="00866CED"/>
    <w:rsid w:val="00885FB6"/>
    <w:rsid w:val="008D704A"/>
    <w:rsid w:val="008E11F3"/>
    <w:rsid w:val="00936D89"/>
    <w:rsid w:val="00953213"/>
    <w:rsid w:val="009A14DB"/>
    <w:rsid w:val="009C5058"/>
    <w:rsid w:val="009D3C45"/>
    <w:rsid w:val="009E0157"/>
    <w:rsid w:val="009F214E"/>
    <w:rsid w:val="00A05559"/>
    <w:rsid w:val="00A0637B"/>
    <w:rsid w:val="00AD6A4A"/>
    <w:rsid w:val="00B503D0"/>
    <w:rsid w:val="00B66C64"/>
    <w:rsid w:val="00C26814"/>
    <w:rsid w:val="00C57E9B"/>
    <w:rsid w:val="00CC1FE8"/>
    <w:rsid w:val="00CC3313"/>
    <w:rsid w:val="00D57746"/>
    <w:rsid w:val="00DE49A3"/>
    <w:rsid w:val="00E228D7"/>
    <w:rsid w:val="00E62AC7"/>
    <w:rsid w:val="00E673EB"/>
    <w:rsid w:val="00EA0AC3"/>
    <w:rsid w:val="00ED659B"/>
    <w:rsid w:val="00F66AB5"/>
    <w:rsid w:val="00FD35AB"/>
  </w:rsids>
  <m:mathPr>
    <m:mathFont m:val="Book Antiq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CE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04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04B6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nhideWhenUsed/>
    <w:rsid w:val="00E228D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28D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2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559"/>
  </w:style>
  <w:style w:type="paragraph" w:styleId="ListParagraph">
    <w:name w:val="List Paragraph"/>
    <w:basedOn w:val="Normal"/>
    <w:uiPriority w:val="34"/>
    <w:qFormat/>
    <w:rsid w:val="00A05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06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13"/>
  </w:style>
  <w:style w:type="paragraph" w:styleId="Footer">
    <w:name w:val="footer"/>
    <w:basedOn w:val="Normal"/>
    <w:link w:val="FooterChar"/>
    <w:uiPriority w:val="99"/>
    <w:unhideWhenUsed/>
    <w:rsid w:val="0095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13"/>
  </w:style>
  <w:style w:type="character" w:customStyle="1" w:styleId="Heading3Char">
    <w:name w:val="Heading 3 Char"/>
    <w:basedOn w:val="DefaultParagraphFont"/>
    <w:link w:val="Heading3"/>
    <w:uiPriority w:val="9"/>
    <w:semiHidden/>
    <w:rsid w:val="00E67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6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6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6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6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6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04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04B6B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nhideWhenUsed/>
    <w:rsid w:val="00E228D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28D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2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5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5559"/>
  </w:style>
  <w:style w:type="paragraph" w:styleId="ListParagraph">
    <w:name w:val="List Paragraph"/>
    <w:basedOn w:val="Normal"/>
    <w:uiPriority w:val="34"/>
    <w:qFormat/>
    <w:rsid w:val="00A05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06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13"/>
  </w:style>
  <w:style w:type="paragraph" w:styleId="Footer">
    <w:name w:val="footer"/>
    <w:basedOn w:val="Normal"/>
    <w:link w:val="FooterChar"/>
    <w:uiPriority w:val="99"/>
    <w:unhideWhenUsed/>
    <w:rsid w:val="0095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13"/>
  </w:style>
  <w:style w:type="character" w:customStyle="1" w:styleId="Heading3Char">
    <w:name w:val="Heading 3 Char"/>
    <w:basedOn w:val="DefaultParagraphFont"/>
    <w:link w:val="Heading3"/>
    <w:uiPriority w:val="9"/>
    <w:semiHidden/>
    <w:rsid w:val="00E67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3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6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6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6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6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6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8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E5C5A-05F5-48EC-9C0D-FC022A04870C}"/>
</file>

<file path=customXml/itemProps2.xml><?xml version="1.0" encoding="utf-8"?>
<ds:datastoreItem xmlns:ds="http://schemas.openxmlformats.org/officeDocument/2006/customXml" ds:itemID="{433617EC-44CA-48D1-BC53-CA35C70592DA}"/>
</file>

<file path=customXml/itemProps3.xml><?xml version="1.0" encoding="utf-8"?>
<ds:datastoreItem xmlns:ds="http://schemas.openxmlformats.org/officeDocument/2006/customXml" ds:itemID="{01960B06-1D9C-4E3B-9F2F-27007A0EEC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3625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P-Kandole</dc:creator>
  <cp:keywords>TRT010</cp:keywords>
  <cp:lastModifiedBy>Patrick Griffith</cp:lastModifiedBy>
  <cp:revision>5</cp:revision>
  <dcterms:created xsi:type="dcterms:W3CDTF">2012-08-23T08:58:00Z</dcterms:created>
  <dcterms:modified xsi:type="dcterms:W3CDTF">2012-08-23T09:42:00Z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