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31" w:rsidRPr="00DA464F" w:rsidRDefault="00A24331" w:rsidP="00A24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A464F">
        <w:rPr>
          <w:rFonts w:ascii="Arial" w:hAnsi="Arial" w:cs="Arial"/>
          <w:b/>
          <w:sz w:val="24"/>
          <w:szCs w:val="24"/>
        </w:rPr>
        <w:t>TRAINING IN FINANCIAL AND BUSINESS MANAGEMENT FOR ROAD CONTRACTORS</w:t>
      </w:r>
    </w:p>
    <w:p w:rsidR="00A24331" w:rsidRPr="00DA464F" w:rsidRDefault="00A24331" w:rsidP="00A24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464F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TWO</w:t>
      </w:r>
      <w:r w:rsidRPr="00DA464F">
        <w:rPr>
          <w:rFonts w:ascii="Arial" w:hAnsi="Arial" w:cs="Arial"/>
          <w:b/>
          <w:sz w:val="24"/>
          <w:szCs w:val="24"/>
        </w:rPr>
        <w:t xml:space="preserve"> SESSION </w:t>
      </w:r>
      <w:r>
        <w:rPr>
          <w:rFonts w:ascii="Arial" w:hAnsi="Arial" w:cs="Arial"/>
          <w:b/>
          <w:sz w:val="24"/>
          <w:szCs w:val="24"/>
        </w:rPr>
        <w:t>SIX</w:t>
      </w:r>
      <w:r w:rsidRPr="00DA464F">
        <w:rPr>
          <w:rFonts w:ascii="Arial" w:hAnsi="Arial" w:cs="Arial"/>
          <w:b/>
          <w:sz w:val="24"/>
          <w:szCs w:val="24"/>
        </w:rPr>
        <w:t xml:space="preserve"> PARTICIPANTS’ NOTES</w:t>
      </w:r>
    </w:p>
    <w:p w:rsidR="00A24331" w:rsidRPr="0093420A" w:rsidRDefault="00A24331" w:rsidP="00A24331">
      <w:pPr>
        <w:jc w:val="center"/>
        <w:rPr>
          <w:rFonts w:ascii="Arial" w:hAnsi="Arial" w:cs="Arial"/>
          <w:b/>
          <w:sz w:val="24"/>
          <w:szCs w:val="24"/>
        </w:rPr>
      </w:pPr>
      <w:r w:rsidRPr="0093420A">
        <w:rPr>
          <w:rFonts w:ascii="Arial" w:hAnsi="Arial" w:cs="Arial"/>
          <w:b/>
          <w:sz w:val="24"/>
          <w:szCs w:val="24"/>
        </w:rPr>
        <w:t>SCENARIO ANALYSIS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E69B1">
        <w:rPr>
          <w:rFonts w:ascii="Arial" w:hAnsi="Arial" w:cs="Arial"/>
          <w:b/>
          <w:sz w:val="24"/>
          <w:szCs w:val="24"/>
        </w:rPr>
        <w:t>5</w:t>
      </w:r>
    </w:p>
    <w:p w:rsidR="00A24331" w:rsidRPr="0093420A" w:rsidRDefault="00CE69B1" w:rsidP="00A2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Deferring purchase of land and equipment and hiring it at an extra 6m per month</w:t>
      </w:r>
      <w:r w:rsidR="00A24331" w:rsidRPr="0093420A">
        <w:rPr>
          <w:rFonts w:ascii="Arial" w:hAnsi="Arial" w:cs="Arial"/>
          <w:sz w:val="24"/>
          <w:szCs w:val="24"/>
        </w:rPr>
        <w:t>.</w:t>
      </w:r>
    </w:p>
    <w:p w:rsidR="00A24331" w:rsidRPr="0093420A" w:rsidRDefault="00A24331" w:rsidP="00A24331">
      <w:pPr>
        <w:rPr>
          <w:rFonts w:ascii="Arial" w:hAnsi="Arial" w:cs="Arial"/>
          <w:sz w:val="24"/>
          <w:szCs w:val="24"/>
        </w:rPr>
      </w:pPr>
      <w:r w:rsidRPr="0093420A">
        <w:rPr>
          <w:rFonts w:ascii="Arial" w:hAnsi="Arial" w:cs="Arial"/>
          <w:sz w:val="24"/>
          <w:szCs w:val="24"/>
        </w:rPr>
        <w:t xml:space="preserve">Implication: </w:t>
      </w:r>
      <w:r w:rsidR="00CE69B1">
        <w:rPr>
          <w:rFonts w:ascii="Arial" w:hAnsi="Arial" w:cs="Arial"/>
          <w:sz w:val="24"/>
          <w:szCs w:val="24"/>
        </w:rPr>
        <w:t>Land cos</w:t>
      </w:r>
      <w:r w:rsidR="003470B9">
        <w:rPr>
          <w:rFonts w:ascii="Arial" w:hAnsi="Arial" w:cs="Arial"/>
          <w:sz w:val="24"/>
          <w:szCs w:val="24"/>
        </w:rPr>
        <w:t>t</w:t>
      </w:r>
      <w:r w:rsidR="00CE69B1">
        <w:rPr>
          <w:rFonts w:ascii="Arial" w:hAnsi="Arial" w:cs="Arial"/>
          <w:sz w:val="24"/>
          <w:szCs w:val="24"/>
        </w:rPr>
        <w:t xml:space="preserve">ing </w:t>
      </w:r>
      <w:proofErr w:type="spellStart"/>
      <w:r w:rsidR="003470B9">
        <w:rPr>
          <w:rFonts w:ascii="Arial" w:hAnsi="Arial" w:cs="Arial"/>
          <w:sz w:val="24"/>
          <w:szCs w:val="24"/>
        </w:rPr>
        <w:t>shs</w:t>
      </w:r>
      <w:proofErr w:type="spellEnd"/>
      <w:r w:rsidR="003470B9">
        <w:rPr>
          <w:rFonts w:ascii="Arial" w:hAnsi="Arial" w:cs="Arial"/>
          <w:sz w:val="24"/>
          <w:szCs w:val="24"/>
        </w:rPr>
        <w:t xml:space="preserve"> 500m and machinery costing </w:t>
      </w:r>
      <w:proofErr w:type="spellStart"/>
      <w:r w:rsidR="003470B9">
        <w:rPr>
          <w:rFonts w:ascii="Arial" w:hAnsi="Arial" w:cs="Arial"/>
          <w:sz w:val="24"/>
          <w:szCs w:val="24"/>
        </w:rPr>
        <w:t>shs</w:t>
      </w:r>
      <w:proofErr w:type="spellEnd"/>
      <w:r w:rsidR="003470B9">
        <w:rPr>
          <w:rFonts w:ascii="Arial" w:hAnsi="Arial" w:cs="Arial"/>
          <w:sz w:val="24"/>
          <w:szCs w:val="24"/>
        </w:rPr>
        <w:t xml:space="preserve"> 350m will not be bought. Machine hire will increase by </w:t>
      </w:r>
      <w:proofErr w:type="spellStart"/>
      <w:r w:rsidR="003470B9">
        <w:rPr>
          <w:rFonts w:ascii="Arial" w:hAnsi="Arial" w:cs="Arial"/>
          <w:sz w:val="24"/>
          <w:szCs w:val="24"/>
        </w:rPr>
        <w:t>shs</w:t>
      </w:r>
      <w:proofErr w:type="spellEnd"/>
      <w:r w:rsidR="003470B9">
        <w:rPr>
          <w:rFonts w:ascii="Arial" w:hAnsi="Arial" w:cs="Arial"/>
          <w:sz w:val="24"/>
          <w:szCs w:val="24"/>
        </w:rPr>
        <w:t xml:space="preserve"> 6m to </w:t>
      </w:r>
      <w:proofErr w:type="spellStart"/>
      <w:r w:rsidR="003470B9">
        <w:rPr>
          <w:rFonts w:ascii="Arial" w:hAnsi="Arial" w:cs="Arial"/>
          <w:sz w:val="24"/>
          <w:szCs w:val="24"/>
        </w:rPr>
        <w:t>shs</w:t>
      </w:r>
      <w:proofErr w:type="spellEnd"/>
      <w:r w:rsidR="003470B9">
        <w:rPr>
          <w:rFonts w:ascii="Arial" w:hAnsi="Arial" w:cs="Arial"/>
          <w:sz w:val="24"/>
          <w:szCs w:val="24"/>
        </w:rPr>
        <w:t xml:space="preserve"> 30m per month but depreciation will reduce to </w:t>
      </w:r>
      <w:proofErr w:type="spellStart"/>
      <w:r w:rsidR="003470B9">
        <w:rPr>
          <w:rFonts w:ascii="Arial" w:hAnsi="Arial" w:cs="Arial"/>
          <w:sz w:val="24"/>
          <w:szCs w:val="24"/>
        </w:rPr>
        <w:t>shs</w:t>
      </w:r>
      <w:proofErr w:type="spellEnd"/>
      <w:r w:rsidR="003470B9">
        <w:rPr>
          <w:rFonts w:ascii="Arial" w:hAnsi="Arial" w:cs="Arial"/>
          <w:sz w:val="24"/>
          <w:szCs w:val="24"/>
        </w:rPr>
        <w:t xml:space="preserve"> 708,334 per month.</w:t>
      </w:r>
    </w:p>
    <w:p w:rsidR="00287E6E" w:rsidRPr="00832D26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832D26">
        <w:rPr>
          <w:rFonts w:ascii="Arial" w:hAnsi="Arial" w:cs="Arial"/>
          <w:b/>
          <w:sz w:val="24"/>
          <w:szCs w:val="24"/>
          <w:u w:val="single"/>
        </w:rPr>
        <w:t>ncome (12 months):</w:t>
      </w:r>
    </w:p>
    <w:tbl>
      <w:tblPr>
        <w:tblStyle w:val="LightShading-Accent5"/>
        <w:tblW w:w="5000" w:type="pct"/>
        <w:tblLook w:val="04A0"/>
      </w:tblPr>
      <w:tblGrid>
        <w:gridCol w:w="1691"/>
        <w:gridCol w:w="221"/>
        <w:gridCol w:w="1171"/>
        <w:gridCol w:w="1140"/>
        <w:gridCol w:w="1079"/>
        <w:gridCol w:w="1018"/>
        <w:gridCol w:w="744"/>
        <w:gridCol w:w="744"/>
        <w:gridCol w:w="744"/>
        <w:gridCol w:w="744"/>
        <w:gridCol w:w="744"/>
        <w:gridCol w:w="744"/>
        <w:gridCol w:w="744"/>
        <w:gridCol w:w="744"/>
        <w:gridCol w:w="904"/>
      </w:tblGrid>
      <w:tr w:rsidR="00287E6E" w:rsidRPr="00E94110" w:rsidTr="00F7607C">
        <w:trPr>
          <w:cnfStyle w:val="1000000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Jan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Feb</w:t>
            </w:r>
          </w:p>
        </w:tc>
        <w:tc>
          <w:tcPr>
            <w:tcW w:w="410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Mar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Apr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May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June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Jul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Aug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Oct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Nov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Dec</w:t>
            </w:r>
          </w:p>
        </w:tc>
        <w:tc>
          <w:tcPr>
            <w:tcW w:w="343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Net profit</w:t>
            </w:r>
          </w:p>
        </w:tc>
        <w:tc>
          <w:tcPr>
            <w:tcW w:w="8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75,725 </w:t>
            </w:r>
          </w:p>
        </w:tc>
        <w:tc>
          <w:tcPr>
            <w:tcW w:w="43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75,725 </w:t>
            </w:r>
          </w:p>
        </w:tc>
        <w:tc>
          <w:tcPr>
            <w:tcW w:w="410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75,725 </w:t>
            </w:r>
          </w:p>
        </w:tc>
        <w:tc>
          <w:tcPr>
            <w:tcW w:w="387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908,700 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Provision for taxation 30%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 22,718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22,718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22,718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343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272,610 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Profit after Taxation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 53,008 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53,008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53,008 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636,090 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18"/>
          <w:szCs w:val="18"/>
        </w:rPr>
      </w:pPr>
    </w:p>
    <w:p w:rsidR="00EF0E53" w:rsidRPr="00EF0E53" w:rsidRDefault="00EF0E53" w:rsidP="00287E6E">
      <w:pPr>
        <w:rPr>
          <w:rFonts w:ascii="Arial" w:hAnsi="Arial" w:cs="Arial"/>
          <w:sz w:val="24"/>
          <w:szCs w:val="24"/>
        </w:rPr>
      </w:pPr>
      <w:r w:rsidRPr="00EF0E53">
        <w:rPr>
          <w:rFonts w:ascii="Arial" w:hAnsi="Arial" w:cs="Arial"/>
          <w:sz w:val="24"/>
          <w:szCs w:val="24"/>
        </w:rPr>
        <w:t>Impact on 12 months</w:t>
      </w:r>
      <w:r w:rsidR="00683899">
        <w:rPr>
          <w:rFonts w:ascii="Arial" w:hAnsi="Arial" w:cs="Arial"/>
          <w:sz w:val="24"/>
          <w:szCs w:val="24"/>
        </w:rPr>
        <w:t xml:space="preserve"> Income</w:t>
      </w:r>
      <w:r w:rsidRPr="00EF0E53">
        <w:rPr>
          <w:rFonts w:ascii="Arial" w:hAnsi="Arial" w:cs="Arial"/>
          <w:sz w:val="24"/>
          <w:szCs w:val="24"/>
        </w:rPr>
        <w:t>:</w:t>
      </w:r>
    </w:p>
    <w:tbl>
      <w:tblPr>
        <w:tblStyle w:val="LightShading-Accent5"/>
        <w:tblW w:w="5327" w:type="pct"/>
        <w:tblInd w:w="18" w:type="dxa"/>
        <w:tblLayout w:type="fixed"/>
        <w:tblLook w:val="04A0"/>
      </w:tblPr>
      <w:tblGrid>
        <w:gridCol w:w="1018"/>
        <w:gridCol w:w="238"/>
        <w:gridCol w:w="1344"/>
        <w:gridCol w:w="1313"/>
        <w:gridCol w:w="1249"/>
        <w:gridCol w:w="1176"/>
        <w:gridCol w:w="854"/>
        <w:gridCol w:w="854"/>
        <w:gridCol w:w="854"/>
        <w:gridCol w:w="854"/>
        <w:gridCol w:w="854"/>
        <w:gridCol w:w="854"/>
        <w:gridCol w:w="854"/>
        <w:gridCol w:w="854"/>
        <w:gridCol w:w="868"/>
      </w:tblGrid>
      <w:tr w:rsidR="00683899" w:rsidRPr="00E94110" w:rsidTr="003470B9">
        <w:trPr>
          <w:cnfStyle w:val="100000000000"/>
          <w:trHeight w:val="288"/>
        </w:trPr>
        <w:tc>
          <w:tcPr>
            <w:cnfStyle w:val="001000000000"/>
            <w:tcW w:w="363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04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04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04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Jul</w:t>
            </w:r>
          </w:p>
        </w:tc>
        <w:tc>
          <w:tcPr>
            <w:tcW w:w="304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04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Sept</w:t>
            </w:r>
          </w:p>
        </w:tc>
        <w:tc>
          <w:tcPr>
            <w:tcW w:w="304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04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04" w:type="pct"/>
            <w:tcBorders>
              <w:top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Dec</w:t>
            </w:r>
          </w:p>
        </w:tc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EF0E53" w:rsidRPr="00683899" w:rsidRDefault="00EF0E53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b w:val="0"/>
                <w:bCs w:val="0"/>
                <w:color w:val="000000"/>
                <w:sz w:val="16"/>
                <w:szCs w:val="16"/>
                <w:lang w:val="en-US"/>
              </w:rPr>
              <w:t>Total</w:t>
            </w:r>
          </w:p>
        </w:tc>
      </w:tr>
      <w:tr w:rsidR="003470B9" w:rsidRPr="00E94110" w:rsidTr="003470B9">
        <w:trPr>
          <w:cnfStyle w:val="000000100000"/>
          <w:trHeight w:val="288"/>
        </w:trPr>
        <w:tc>
          <w:tcPr>
            <w:cnfStyle w:val="001000000000"/>
            <w:tcW w:w="363" w:type="pct"/>
            <w:tcBorders>
              <w:left w:val="single" w:sz="4" w:space="0" w:color="auto"/>
            </w:tcBorders>
            <w:noWrap/>
            <w:hideMark/>
          </w:tcPr>
          <w:p w:rsidR="003470B9" w:rsidRPr="00E94110" w:rsidRDefault="003470B9" w:rsidP="00F7607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Net profit</w:t>
            </w:r>
          </w:p>
        </w:tc>
        <w:tc>
          <w:tcPr>
            <w:tcW w:w="85" w:type="pct"/>
            <w:noWrap/>
            <w:hideMark/>
          </w:tcPr>
          <w:p w:rsidR="003470B9" w:rsidRPr="00E94110" w:rsidRDefault="003470B9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noWrap/>
            <w:vAlign w:val="bottom"/>
            <w:hideMark/>
          </w:tcPr>
          <w:p w:rsidR="003470B9" w:rsidRPr="003470B9" w:rsidRDefault="003470B9" w:rsidP="0046245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 73,892 </w:t>
            </w:r>
          </w:p>
        </w:tc>
        <w:tc>
          <w:tcPr>
            <w:tcW w:w="468" w:type="pct"/>
            <w:noWrap/>
            <w:vAlign w:val="bottom"/>
            <w:hideMark/>
          </w:tcPr>
          <w:p w:rsidR="003470B9" w:rsidRPr="003470B9" w:rsidRDefault="003470B9" w:rsidP="0046245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73,892 </w:t>
            </w:r>
          </w:p>
        </w:tc>
        <w:tc>
          <w:tcPr>
            <w:tcW w:w="445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  73,892 </w:t>
            </w:r>
          </w:p>
        </w:tc>
        <w:tc>
          <w:tcPr>
            <w:tcW w:w="419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73,892 </w:t>
            </w:r>
          </w:p>
        </w:tc>
        <w:tc>
          <w:tcPr>
            <w:tcW w:w="304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73,892 </w:t>
            </w:r>
          </w:p>
        </w:tc>
        <w:tc>
          <w:tcPr>
            <w:tcW w:w="304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73,892 </w:t>
            </w:r>
          </w:p>
        </w:tc>
        <w:tc>
          <w:tcPr>
            <w:tcW w:w="304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73,892 </w:t>
            </w:r>
          </w:p>
        </w:tc>
        <w:tc>
          <w:tcPr>
            <w:tcW w:w="304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73,892 </w:t>
            </w:r>
          </w:p>
        </w:tc>
        <w:tc>
          <w:tcPr>
            <w:tcW w:w="304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73,892 </w:t>
            </w:r>
          </w:p>
        </w:tc>
        <w:tc>
          <w:tcPr>
            <w:tcW w:w="304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73,892 </w:t>
            </w:r>
          </w:p>
        </w:tc>
        <w:tc>
          <w:tcPr>
            <w:tcW w:w="304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73,892 </w:t>
            </w:r>
          </w:p>
        </w:tc>
        <w:tc>
          <w:tcPr>
            <w:tcW w:w="304" w:type="pct"/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73,892 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886,700 </w:t>
            </w:r>
          </w:p>
        </w:tc>
      </w:tr>
      <w:tr w:rsidR="003470B9" w:rsidRPr="00E94110" w:rsidTr="003470B9">
        <w:trPr>
          <w:trHeight w:val="288"/>
        </w:trPr>
        <w:tc>
          <w:tcPr>
            <w:cnfStyle w:val="001000000000"/>
            <w:tcW w:w="363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470B9" w:rsidRPr="00E94110" w:rsidRDefault="003470B9" w:rsidP="00F7607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83899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T</w:t>
            </w:r>
            <w:r w:rsidRPr="00E941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axation 30%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noWrap/>
            <w:hideMark/>
          </w:tcPr>
          <w:p w:rsidR="003470B9" w:rsidRPr="00E94110" w:rsidRDefault="003470B9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 w:rsidP="00462454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22,167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 w:rsidP="00462454">
            <w:pPr>
              <w:jc w:val="right"/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>22,167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22,167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22,167 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22,167 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22,167 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22,167 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22,167 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22,167 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22,167 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22,167 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22,167 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266,010 </w:t>
            </w:r>
          </w:p>
        </w:tc>
      </w:tr>
      <w:tr w:rsidR="003470B9" w:rsidRPr="00E94110" w:rsidTr="003470B9">
        <w:trPr>
          <w:cnfStyle w:val="000000100000"/>
          <w:trHeight w:val="288"/>
        </w:trPr>
        <w:tc>
          <w:tcPr>
            <w:cnfStyle w:val="001000000000"/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470B9" w:rsidRPr="00E94110" w:rsidRDefault="003470B9" w:rsidP="00F7607C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Profit after Taxation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470B9" w:rsidRPr="00E94110" w:rsidRDefault="003470B9" w:rsidP="00F7607C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 w:rsidP="0046245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              51,724 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 w:rsidP="00462454">
            <w:pPr>
              <w:jc w:val="right"/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             51,724 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           51,724 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         51,724 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51,724 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51,724 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51,724 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51,724 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51,724 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51,724 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51,724 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51,724 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0B9" w:rsidRPr="003470B9" w:rsidRDefault="003470B9">
            <w:pPr>
              <w:cnfStyle w:val="000000100000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3470B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       620,690 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287E6E" w:rsidRDefault="00683899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impact </w:t>
      </w:r>
      <w:r w:rsidR="00847310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</w:t>
      </w:r>
      <w:r w:rsidR="003470B9">
        <w:rPr>
          <w:rFonts w:ascii="Arial" w:hAnsi="Arial" w:cs="Arial"/>
          <w:sz w:val="24"/>
          <w:szCs w:val="24"/>
        </w:rPr>
        <w:t xml:space="preserve">increase in hire of equipment and reduced depreciation is to reduce the annual profit by </w:t>
      </w:r>
      <w:proofErr w:type="spellStart"/>
      <w:r w:rsidR="003470B9">
        <w:rPr>
          <w:rFonts w:ascii="Arial" w:hAnsi="Arial" w:cs="Arial"/>
          <w:sz w:val="24"/>
          <w:szCs w:val="24"/>
        </w:rPr>
        <w:t>shs</w:t>
      </w:r>
      <w:proofErr w:type="spellEnd"/>
      <w:r w:rsidR="003470B9">
        <w:rPr>
          <w:rFonts w:ascii="Arial" w:hAnsi="Arial" w:cs="Arial"/>
          <w:sz w:val="24"/>
          <w:szCs w:val="24"/>
        </w:rPr>
        <w:t>. 15.4million.</w:t>
      </w:r>
    </w:p>
    <w:p w:rsidR="00683899" w:rsidRDefault="00683899" w:rsidP="00287E6E">
      <w:pPr>
        <w:rPr>
          <w:rFonts w:ascii="Arial" w:hAnsi="Arial" w:cs="Arial"/>
          <w:sz w:val="24"/>
          <w:szCs w:val="24"/>
        </w:rPr>
      </w:pPr>
    </w:p>
    <w:p w:rsidR="00683899" w:rsidRDefault="00683899" w:rsidP="00287E6E">
      <w:pPr>
        <w:rPr>
          <w:rFonts w:ascii="Arial" w:hAnsi="Arial" w:cs="Arial"/>
          <w:sz w:val="24"/>
          <w:szCs w:val="24"/>
        </w:rPr>
      </w:pPr>
    </w:p>
    <w:p w:rsidR="00683899" w:rsidRDefault="00683899" w:rsidP="00287E6E">
      <w:pPr>
        <w:rPr>
          <w:rFonts w:ascii="Arial" w:hAnsi="Arial" w:cs="Arial"/>
          <w:sz w:val="24"/>
          <w:szCs w:val="24"/>
        </w:rPr>
      </w:pPr>
    </w:p>
    <w:p w:rsidR="00287E6E" w:rsidRPr="00C3575B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Projected c</w:t>
      </w:r>
      <w:r w:rsidR="00287E6E" w:rsidRPr="00C3575B">
        <w:rPr>
          <w:rFonts w:ascii="Arial" w:hAnsi="Arial" w:cs="Arial"/>
          <w:b/>
          <w:sz w:val="24"/>
          <w:szCs w:val="24"/>
          <w:u w:val="single"/>
        </w:rPr>
        <w:t>ash flow (12 months):</w:t>
      </w:r>
    </w:p>
    <w:tbl>
      <w:tblPr>
        <w:tblW w:w="5751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8"/>
        <w:gridCol w:w="240"/>
        <w:gridCol w:w="1259"/>
        <w:gridCol w:w="1135"/>
        <w:gridCol w:w="1110"/>
        <w:gridCol w:w="1073"/>
        <w:gridCol w:w="1073"/>
        <w:gridCol w:w="1109"/>
        <w:gridCol w:w="1034"/>
        <w:gridCol w:w="1034"/>
        <w:gridCol w:w="1003"/>
        <w:gridCol w:w="1073"/>
        <w:gridCol w:w="1037"/>
        <w:gridCol w:w="967"/>
      </w:tblGrid>
      <w:tr w:rsidR="00287E6E" w:rsidRPr="004B3367" w:rsidTr="00F7607C">
        <w:trPr>
          <w:trHeight w:val="348"/>
        </w:trPr>
        <w:tc>
          <w:tcPr>
            <w:tcW w:w="662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9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37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July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3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Sep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42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19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Dec</w:t>
            </w:r>
          </w:p>
        </w:tc>
      </w:tr>
      <w:tr w:rsidR="00C574BA" w:rsidRPr="004B3367" w:rsidTr="0036453D">
        <w:trPr>
          <w:trHeight w:val="348"/>
        </w:trPr>
        <w:tc>
          <w:tcPr>
            <w:tcW w:w="662" w:type="pct"/>
            <w:shd w:val="clear" w:color="auto" w:fill="auto"/>
            <w:noWrap/>
            <w:hideMark/>
          </w:tcPr>
          <w:p w:rsidR="00C574BA" w:rsidRPr="004B3367" w:rsidRDefault="00C574BA" w:rsidP="00881FE1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Net cash</w:t>
            </w:r>
          </w:p>
        </w:tc>
        <w:tc>
          <w:tcPr>
            <w:tcW w:w="79" w:type="pct"/>
            <w:shd w:val="clear" w:color="auto" w:fill="auto"/>
            <w:noWrap/>
            <w:hideMark/>
          </w:tcPr>
          <w:p w:rsidR="00C574BA" w:rsidRPr="004B3367" w:rsidRDefault="00C574BA" w:rsidP="00881FE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(1,945,400)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964,600 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 964,600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(835,400)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  964,600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964,600 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964,600 </w:t>
            </w:r>
          </w:p>
        </w:tc>
      </w:tr>
      <w:tr w:rsidR="00C574BA" w:rsidRPr="004B3367" w:rsidTr="0036453D">
        <w:trPr>
          <w:trHeight w:val="234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574BA" w:rsidRPr="004B3367" w:rsidRDefault="00C574BA" w:rsidP="00881FE1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C574BA" w:rsidRPr="004B3367" w:rsidRDefault="00C574BA" w:rsidP="00881FE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    (999,000)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(2,944,400)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 (3,779,800)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(4,615,200)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(3,650,600)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(4,486,000)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(3,521,400)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(4,356,800)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(3,392,200)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(4,227,600)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(3,263,000)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(4,098,400)</w:t>
            </w:r>
          </w:p>
        </w:tc>
      </w:tr>
      <w:tr w:rsidR="00C574BA" w:rsidRPr="004B3367" w:rsidTr="0036453D">
        <w:trPr>
          <w:trHeight w:val="332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574BA" w:rsidRPr="004B3367" w:rsidRDefault="00C574BA" w:rsidP="00881FE1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Closing balance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574BA" w:rsidRPr="004B3367" w:rsidRDefault="00C574BA" w:rsidP="00881FE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(2,944,400)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(3,779,800)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 (4,615,200)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(3,650,600)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(4,486,000)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(3,521,400)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(4,356,800)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(3,392,200)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(4,227,600)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(3,263,000)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(4,098,400)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74BA" w:rsidRPr="00BE4330" w:rsidRDefault="00C574BA" w:rsidP="006B3219">
            <w:pPr>
              <w:spacing w:before="240" w:after="0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(3,133,800)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EF0E53" w:rsidRPr="00E80155" w:rsidRDefault="00EF0E53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E80155">
        <w:rPr>
          <w:rFonts w:ascii="Arial" w:hAnsi="Arial" w:cs="Arial"/>
          <w:b/>
          <w:sz w:val="24"/>
          <w:szCs w:val="24"/>
          <w:u w:val="single"/>
        </w:rPr>
        <w:t xml:space="preserve">Impact on 12 </w:t>
      </w:r>
      <w:r w:rsidR="00683899" w:rsidRPr="00E80155">
        <w:rPr>
          <w:rFonts w:ascii="Arial" w:hAnsi="Arial" w:cs="Arial"/>
          <w:b/>
          <w:sz w:val="24"/>
          <w:szCs w:val="24"/>
          <w:u w:val="single"/>
        </w:rPr>
        <w:t>months cash flow</w:t>
      </w:r>
      <w:r w:rsidRPr="00E80155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5751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8"/>
        <w:gridCol w:w="240"/>
        <w:gridCol w:w="1259"/>
        <w:gridCol w:w="1135"/>
        <w:gridCol w:w="1110"/>
        <w:gridCol w:w="1073"/>
        <w:gridCol w:w="1073"/>
        <w:gridCol w:w="1109"/>
        <w:gridCol w:w="1034"/>
        <w:gridCol w:w="1034"/>
        <w:gridCol w:w="1003"/>
        <w:gridCol w:w="1073"/>
        <w:gridCol w:w="1037"/>
        <w:gridCol w:w="967"/>
      </w:tblGrid>
      <w:tr w:rsidR="00EF0E53" w:rsidRPr="004B3367" w:rsidTr="00F7607C">
        <w:trPr>
          <w:trHeight w:val="348"/>
        </w:trPr>
        <w:tc>
          <w:tcPr>
            <w:tcW w:w="662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9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37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July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3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Sep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42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19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Dec</w:t>
            </w:r>
          </w:p>
        </w:tc>
      </w:tr>
      <w:tr w:rsidR="00B5699C" w:rsidRPr="004B3367" w:rsidTr="005A3894">
        <w:trPr>
          <w:trHeight w:val="348"/>
        </w:trPr>
        <w:tc>
          <w:tcPr>
            <w:tcW w:w="662" w:type="pct"/>
            <w:shd w:val="clear" w:color="auto" w:fill="auto"/>
            <w:noWrap/>
            <w:hideMark/>
          </w:tcPr>
          <w:p w:rsidR="00B5699C" w:rsidRPr="004B3367" w:rsidRDefault="00B5699C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Net cash</w:t>
            </w:r>
          </w:p>
        </w:tc>
        <w:tc>
          <w:tcPr>
            <w:tcW w:w="79" w:type="pct"/>
            <w:shd w:val="clear" w:color="auto" w:fill="auto"/>
            <w:noWrap/>
            <w:hideMark/>
          </w:tcPr>
          <w:p w:rsidR="00B5699C" w:rsidRPr="004B3367" w:rsidRDefault="00B5699C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(1,101,400)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(841,400)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(841,400)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958,600 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(841,400)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958,600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(841,400)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958,600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(841,400)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958,600 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(841,400)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958,600 </w:t>
            </w:r>
          </w:p>
        </w:tc>
      </w:tr>
      <w:tr w:rsidR="00B5699C" w:rsidRPr="004B3367" w:rsidTr="005A3894">
        <w:trPr>
          <w:trHeight w:val="234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B5699C" w:rsidRPr="004B3367" w:rsidRDefault="00B5699C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B5699C" w:rsidRPr="004B3367" w:rsidRDefault="00B5699C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(999,000)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(2,100,400)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(2,941,800)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(3,783,200)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(2,824,600)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(3,666,000)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(2,707,400)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(3,548,800)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(2,590,200)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(3,431,600)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(2,473,000)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69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(3,314,400)</w:t>
            </w:r>
          </w:p>
        </w:tc>
      </w:tr>
      <w:tr w:rsidR="00B5699C" w:rsidRPr="004B3367" w:rsidTr="005A3894">
        <w:trPr>
          <w:trHeight w:val="332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5699C" w:rsidRPr="004B3367" w:rsidRDefault="00B5699C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Closing balance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5699C" w:rsidRPr="004B3367" w:rsidRDefault="00B5699C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(2,100,400)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(2,941,800)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(3,783,200)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(2,824,600)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(3,666,000)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(2,707,400)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(3,548,800)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(2,590,200)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(3,431,600)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(2,473,000)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(3,314,400)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5699C" w:rsidRPr="00B5699C" w:rsidRDefault="00B5699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699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(2,355,800)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287E6E" w:rsidRDefault="00B5699C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profits reduced by only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 xml:space="preserve"> 15.4 million,</w:t>
      </w:r>
      <w:r w:rsidR="00F807E3">
        <w:rPr>
          <w:rFonts w:ascii="Arial" w:hAnsi="Arial" w:cs="Arial"/>
          <w:sz w:val="24"/>
          <w:szCs w:val="24"/>
        </w:rPr>
        <w:t xml:space="preserve"> </w:t>
      </w:r>
      <w:r w:rsidR="00977BD5">
        <w:rPr>
          <w:rFonts w:ascii="Arial" w:hAnsi="Arial" w:cs="Arial"/>
          <w:sz w:val="24"/>
          <w:szCs w:val="24"/>
        </w:rPr>
        <w:t xml:space="preserve">year end </w:t>
      </w:r>
      <w:r w:rsidR="00F807E3">
        <w:rPr>
          <w:rFonts w:ascii="Arial" w:hAnsi="Arial" w:cs="Arial"/>
          <w:sz w:val="24"/>
          <w:szCs w:val="24"/>
        </w:rPr>
        <w:t xml:space="preserve">cash </w:t>
      </w:r>
      <w:r w:rsidR="00977BD5">
        <w:rPr>
          <w:rFonts w:ascii="Arial" w:hAnsi="Arial" w:cs="Arial"/>
          <w:sz w:val="24"/>
          <w:szCs w:val="24"/>
        </w:rPr>
        <w:t xml:space="preserve">deficit </w:t>
      </w:r>
      <w:r>
        <w:rPr>
          <w:rFonts w:ascii="Arial" w:hAnsi="Arial" w:cs="Arial"/>
          <w:sz w:val="24"/>
          <w:szCs w:val="24"/>
        </w:rPr>
        <w:t xml:space="preserve">reduced by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 xml:space="preserve"> 778 million</w:t>
      </w:r>
      <w:r w:rsidR="00977BD5">
        <w:rPr>
          <w:rFonts w:ascii="Arial" w:hAnsi="Arial" w:cs="Arial"/>
          <w:sz w:val="24"/>
          <w:szCs w:val="24"/>
        </w:rPr>
        <w:t xml:space="preserve">, while maximum cash deficit reduced from </w:t>
      </w:r>
      <w:proofErr w:type="spellStart"/>
      <w:r w:rsidR="00977BD5">
        <w:rPr>
          <w:rFonts w:ascii="Arial" w:hAnsi="Arial" w:cs="Arial"/>
          <w:sz w:val="24"/>
          <w:szCs w:val="24"/>
        </w:rPr>
        <w:t>shs</w:t>
      </w:r>
      <w:proofErr w:type="spellEnd"/>
      <w:r w:rsidR="00977BD5">
        <w:rPr>
          <w:rFonts w:ascii="Arial" w:hAnsi="Arial" w:cs="Arial"/>
          <w:sz w:val="24"/>
          <w:szCs w:val="24"/>
        </w:rPr>
        <w:t xml:space="preserve"> 4.6billion to </w:t>
      </w:r>
      <w:proofErr w:type="spellStart"/>
      <w:r w:rsidR="00977BD5">
        <w:rPr>
          <w:rFonts w:ascii="Arial" w:hAnsi="Arial" w:cs="Arial"/>
          <w:sz w:val="24"/>
          <w:szCs w:val="24"/>
        </w:rPr>
        <w:t>shs</w:t>
      </w:r>
      <w:proofErr w:type="spellEnd"/>
      <w:r w:rsidR="00977BD5">
        <w:rPr>
          <w:rFonts w:ascii="Arial" w:hAnsi="Arial" w:cs="Arial"/>
          <w:sz w:val="24"/>
          <w:szCs w:val="24"/>
        </w:rPr>
        <w:t xml:space="preserve"> 3.7billion.</w:t>
      </w:r>
    </w:p>
    <w:p w:rsidR="00287E6E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287E6E" w:rsidRPr="00C3575B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>Projected Income (5 years):</w:t>
      </w:r>
    </w:p>
    <w:tbl>
      <w:tblPr>
        <w:tblStyle w:val="LightShading-Accent5"/>
        <w:tblW w:w="4208" w:type="pct"/>
        <w:tblLook w:val="04A0"/>
      </w:tblPr>
      <w:tblGrid>
        <w:gridCol w:w="2626"/>
        <w:gridCol w:w="1762"/>
        <w:gridCol w:w="1520"/>
        <w:gridCol w:w="1341"/>
        <w:gridCol w:w="1223"/>
        <w:gridCol w:w="1185"/>
        <w:gridCol w:w="1432"/>
      </w:tblGrid>
      <w:tr w:rsidR="00287E6E" w:rsidRPr="00E94110" w:rsidTr="00F7607C">
        <w:trPr>
          <w:cnfStyle w:val="100000000000"/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Year</w:t>
            </w:r>
          </w:p>
        </w:tc>
        <w:tc>
          <w:tcPr>
            <w:tcW w:w="79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Three</w:t>
            </w:r>
          </w:p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Four</w:t>
            </w:r>
          </w:p>
        </w:tc>
        <w:tc>
          <w:tcPr>
            <w:tcW w:w="53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Five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Total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Total cost</w:t>
            </w:r>
          </w:p>
        </w:tc>
        <w:tc>
          <w:tcPr>
            <w:tcW w:w="79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9,891,300</w:t>
            </w:r>
          </w:p>
        </w:tc>
        <w:tc>
          <w:tcPr>
            <w:tcW w:w="690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9,852,900</w:t>
            </w:r>
          </w:p>
        </w:tc>
        <w:tc>
          <w:tcPr>
            <w:tcW w:w="60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9,814,500</w:t>
            </w:r>
          </w:p>
        </w:tc>
        <w:tc>
          <w:tcPr>
            <w:tcW w:w="556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9,747,900</w:t>
            </w:r>
          </w:p>
        </w:tc>
        <w:tc>
          <w:tcPr>
            <w:tcW w:w="53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9,730,500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49,037,100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Net profit</w:t>
            </w:r>
          </w:p>
        </w:tc>
        <w:tc>
          <w:tcPr>
            <w:tcW w:w="79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908,700</w:t>
            </w:r>
          </w:p>
        </w:tc>
        <w:tc>
          <w:tcPr>
            <w:tcW w:w="690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947,100</w:t>
            </w:r>
          </w:p>
        </w:tc>
        <w:tc>
          <w:tcPr>
            <w:tcW w:w="60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985,500</w:t>
            </w:r>
          </w:p>
        </w:tc>
        <w:tc>
          <w:tcPr>
            <w:tcW w:w="556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1,052,100</w:t>
            </w:r>
          </w:p>
        </w:tc>
        <w:tc>
          <w:tcPr>
            <w:tcW w:w="53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1,069,500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4,962,900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Provision for taxation 30%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272,610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284,130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295,650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315,630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320,850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1,488,870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Profit after Taxation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636,090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662,970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689,850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736,470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748,650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3,474,030</w:t>
            </w:r>
          </w:p>
        </w:tc>
      </w:tr>
    </w:tbl>
    <w:p w:rsidR="00E80155" w:rsidRDefault="00E80155" w:rsidP="00287E6E">
      <w:pPr>
        <w:rPr>
          <w:rFonts w:ascii="Arial" w:hAnsi="Arial" w:cs="Arial"/>
          <w:sz w:val="24"/>
          <w:szCs w:val="24"/>
          <w:u w:val="single"/>
        </w:rPr>
      </w:pPr>
    </w:p>
    <w:p w:rsidR="00E80155" w:rsidRDefault="00E80155" w:rsidP="00287E6E">
      <w:pPr>
        <w:rPr>
          <w:rFonts w:ascii="Arial" w:hAnsi="Arial" w:cs="Arial"/>
          <w:sz w:val="24"/>
          <w:szCs w:val="24"/>
          <w:u w:val="single"/>
        </w:rPr>
      </w:pPr>
    </w:p>
    <w:p w:rsidR="00287E6E" w:rsidRP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E80155">
        <w:rPr>
          <w:rFonts w:ascii="Arial" w:hAnsi="Arial" w:cs="Arial"/>
          <w:b/>
          <w:sz w:val="24"/>
          <w:szCs w:val="24"/>
          <w:u w:val="single"/>
        </w:rPr>
        <w:t>Impact on 5 years income:</w:t>
      </w:r>
    </w:p>
    <w:tbl>
      <w:tblPr>
        <w:tblStyle w:val="LightShading-Accent5"/>
        <w:tblW w:w="4833" w:type="pct"/>
        <w:tblLook w:val="04A0"/>
      </w:tblPr>
      <w:tblGrid>
        <w:gridCol w:w="2626"/>
        <w:gridCol w:w="1755"/>
        <w:gridCol w:w="1738"/>
        <w:gridCol w:w="1756"/>
        <w:gridCol w:w="1705"/>
        <w:gridCol w:w="1639"/>
        <w:gridCol w:w="1517"/>
      </w:tblGrid>
      <w:tr w:rsidR="00E80155" w:rsidRPr="00E94110" w:rsidTr="00B5699C">
        <w:trPr>
          <w:cnfStyle w:val="100000000000"/>
          <w:trHeight w:val="300"/>
        </w:trPr>
        <w:tc>
          <w:tcPr>
            <w:cnfStyle w:val="001000000000"/>
            <w:tcW w:w="1031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E80155" w:rsidRPr="00E94110" w:rsidRDefault="00E80155" w:rsidP="00F7607C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Year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E80155" w:rsidRPr="00037197" w:rsidRDefault="00E80155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One</w:t>
            </w:r>
          </w:p>
        </w:tc>
        <w:tc>
          <w:tcPr>
            <w:tcW w:w="681" w:type="pct"/>
            <w:tcBorders>
              <w:top w:val="single" w:sz="4" w:space="0" w:color="auto"/>
            </w:tcBorders>
            <w:noWrap/>
            <w:hideMark/>
          </w:tcPr>
          <w:p w:rsidR="00E80155" w:rsidRPr="00037197" w:rsidRDefault="00E80155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Two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E80155" w:rsidRPr="00037197" w:rsidRDefault="00E80155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Three</w:t>
            </w:r>
          </w:p>
        </w:tc>
        <w:tc>
          <w:tcPr>
            <w:tcW w:w="670" w:type="pct"/>
            <w:tcBorders>
              <w:top w:val="single" w:sz="4" w:space="0" w:color="auto"/>
            </w:tcBorders>
            <w:noWrap/>
            <w:hideMark/>
          </w:tcPr>
          <w:p w:rsidR="00E80155" w:rsidRPr="00037197" w:rsidRDefault="00E80155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Four</w:t>
            </w:r>
          </w:p>
        </w:tc>
        <w:tc>
          <w:tcPr>
            <w:tcW w:w="643" w:type="pct"/>
            <w:tcBorders>
              <w:top w:val="single" w:sz="4" w:space="0" w:color="auto"/>
            </w:tcBorders>
            <w:noWrap/>
            <w:hideMark/>
          </w:tcPr>
          <w:p w:rsidR="00E80155" w:rsidRPr="00037197" w:rsidRDefault="00E80155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Five</w:t>
            </w:r>
          </w:p>
        </w:tc>
        <w:tc>
          <w:tcPr>
            <w:tcW w:w="596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E80155" w:rsidRPr="00037197" w:rsidRDefault="00E80155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Total</w:t>
            </w:r>
          </w:p>
        </w:tc>
      </w:tr>
      <w:tr w:rsidR="00B5699C" w:rsidRPr="00E94110" w:rsidTr="00B5699C">
        <w:trPr>
          <w:cnfStyle w:val="000000100000"/>
          <w:trHeight w:val="300"/>
        </w:trPr>
        <w:tc>
          <w:tcPr>
            <w:cnfStyle w:val="001000000000"/>
            <w:tcW w:w="1031" w:type="pct"/>
            <w:tcBorders>
              <w:left w:val="single" w:sz="4" w:space="0" w:color="auto"/>
            </w:tcBorders>
            <w:noWrap/>
            <w:hideMark/>
          </w:tcPr>
          <w:p w:rsidR="00B5699C" w:rsidRPr="00E94110" w:rsidRDefault="00B5699C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Total cost</w:t>
            </w:r>
          </w:p>
        </w:tc>
        <w:tc>
          <w:tcPr>
            <w:tcW w:w="690" w:type="pct"/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9,913,300 </w:t>
            </w:r>
          </w:p>
        </w:tc>
        <w:tc>
          <w:tcPr>
            <w:tcW w:w="681" w:type="pct"/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9,874,900 </w:t>
            </w:r>
          </w:p>
        </w:tc>
        <w:tc>
          <w:tcPr>
            <w:tcW w:w="690" w:type="pct"/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9,836,500 </w:t>
            </w:r>
          </w:p>
        </w:tc>
        <w:tc>
          <w:tcPr>
            <w:tcW w:w="670" w:type="pct"/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9,769,900 </w:t>
            </w:r>
          </w:p>
        </w:tc>
        <w:tc>
          <w:tcPr>
            <w:tcW w:w="643" w:type="pct"/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9,752,500 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49,147,100 </w:t>
            </w:r>
          </w:p>
        </w:tc>
      </w:tr>
      <w:tr w:rsidR="00B5699C" w:rsidRPr="00E94110" w:rsidTr="00B5699C">
        <w:trPr>
          <w:trHeight w:val="300"/>
        </w:trPr>
        <w:tc>
          <w:tcPr>
            <w:cnfStyle w:val="001000000000"/>
            <w:tcW w:w="1031" w:type="pct"/>
            <w:tcBorders>
              <w:left w:val="single" w:sz="4" w:space="0" w:color="auto"/>
            </w:tcBorders>
            <w:noWrap/>
            <w:hideMark/>
          </w:tcPr>
          <w:p w:rsidR="00B5699C" w:rsidRPr="00E94110" w:rsidRDefault="00B5699C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Net profit</w:t>
            </w:r>
          </w:p>
        </w:tc>
        <w:tc>
          <w:tcPr>
            <w:tcW w:w="690" w:type="pct"/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886,700 </w:t>
            </w:r>
          </w:p>
        </w:tc>
        <w:tc>
          <w:tcPr>
            <w:tcW w:w="681" w:type="pct"/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925,100 </w:t>
            </w:r>
          </w:p>
        </w:tc>
        <w:tc>
          <w:tcPr>
            <w:tcW w:w="690" w:type="pct"/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963,500 </w:t>
            </w:r>
          </w:p>
        </w:tc>
        <w:tc>
          <w:tcPr>
            <w:tcW w:w="670" w:type="pct"/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1,030,100 </w:t>
            </w:r>
          </w:p>
        </w:tc>
        <w:tc>
          <w:tcPr>
            <w:tcW w:w="643" w:type="pct"/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1,047,500 </w:t>
            </w:r>
          </w:p>
        </w:tc>
        <w:tc>
          <w:tcPr>
            <w:tcW w:w="596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4,852,900 </w:t>
            </w:r>
          </w:p>
        </w:tc>
      </w:tr>
      <w:tr w:rsidR="00B5699C" w:rsidRPr="00E94110" w:rsidTr="00B5699C">
        <w:trPr>
          <w:cnfStyle w:val="000000100000"/>
          <w:trHeight w:val="300"/>
        </w:trPr>
        <w:tc>
          <w:tcPr>
            <w:cnfStyle w:val="001000000000"/>
            <w:tcW w:w="1031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B5699C" w:rsidRPr="00E94110" w:rsidRDefault="00B5699C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Provision for taxation 30%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266,010 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277,530 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289,050 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309,030 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314,250 </w:t>
            </w:r>
          </w:p>
        </w:tc>
        <w:tc>
          <w:tcPr>
            <w:tcW w:w="596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1,455,870 </w:t>
            </w:r>
          </w:p>
        </w:tc>
      </w:tr>
      <w:tr w:rsidR="00B5699C" w:rsidRPr="00E94110" w:rsidTr="00B5699C">
        <w:trPr>
          <w:trHeight w:val="300"/>
        </w:trPr>
        <w:tc>
          <w:tcPr>
            <w:cnfStyle w:val="001000000000"/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B5699C" w:rsidRPr="00E94110" w:rsidRDefault="00B5699C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Profit after Taxation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620,690 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647,570 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674,450 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721,070 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733,250 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99C" w:rsidRDefault="00B5699C">
            <w:pPr>
              <w:cnfStyle w:val="000000000000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3,397,030 </w:t>
            </w:r>
          </w:p>
        </w:tc>
      </w:tr>
    </w:tbl>
    <w:p w:rsid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6D67C9" w:rsidRPr="006D67C9" w:rsidRDefault="006D67C9" w:rsidP="00287E6E">
      <w:pPr>
        <w:rPr>
          <w:rFonts w:ascii="Arial" w:hAnsi="Arial" w:cs="Arial"/>
          <w:b/>
          <w:sz w:val="24"/>
          <w:szCs w:val="24"/>
        </w:rPr>
      </w:pPr>
      <w:r w:rsidRPr="006D67C9">
        <w:rPr>
          <w:rFonts w:ascii="Arial" w:hAnsi="Arial" w:cs="Arial"/>
          <w:b/>
          <w:sz w:val="24"/>
          <w:szCs w:val="24"/>
        </w:rPr>
        <w:t xml:space="preserve">Net Income has </w:t>
      </w:r>
      <w:r w:rsidR="00B5699C">
        <w:rPr>
          <w:rFonts w:ascii="Arial" w:hAnsi="Arial" w:cs="Arial"/>
          <w:b/>
          <w:sz w:val="24"/>
          <w:szCs w:val="24"/>
        </w:rPr>
        <w:t xml:space="preserve">reduced by </w:t>
      </w:r>
      <w:proofErr w:type="spellStart"/>
      <w:r w:rsidR="00B5699C">
        <w:rPr>
          <w:rFonts w:ascii="Arial" w:hAnsi="Arial" w:cs="Arial"/>
          <w:b/>
          <w:sz w:val="24"/>
          <w:szCs w:val="24"/>
        </w:rPr>
        <w:t>shs</w:t>
      </w:r>
      <w:proofErr w:type="spellEnd"/>
      <w:r w:rsidR="00B5699C">
        <w:rPr>
          <w:rFonts w:ascii="Arial" w:hAnsi="Arial" w:cs="Arial"/>
          <w:b/>
          <w:sz w:val="24"/>
          <w:szCs w:val="24"/>
        </w:rPr>
        <w:t xml:space="preserve"> 77million over five years%, a reduction of 2.2%</w:t>
      </w:r>
    </w:p>
    <w:p w:rsidR="007D7369" w:rsidRDefault="007D7369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7D7369" w:rsidRDefault="007D7369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7D7369" w:rsidRDefault="007D7369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462454" w:rsidRDefault="00462454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462454" w:rsidRDefault="00462454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462454" w:rsidRDefault="00462454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287E6E" w:rsidRPr="00C3575B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>Projected cash flow (5years):</w:t>
      </w:r>
    </w:p>
    <w:tbl>
      <w:tblPr>
        <w:tblStyle w:val="LightShading-Accent5"/>
        <w:tblW w:w="4208" w:type="pct"/>
        <w:tblLayout w:type="fixed"/>
        <w:tblLook w:val="04A0"/>
      </w:tblPr>
      <w:tblGrid>
        <w:gridCol w:w="2589"/>
        <w:gridCol w:w="1748"/>
        <w:gridCol w:w="1530"/>
        <w:gridCol w:w="1351"/>
        <w:gridCol w:w="1260"/>
        <w:gridCol w:w="1260"/>
        <w:gridCol w:w="1351"/>
      </w:tblGrid>
      <w:tr w:rsidR="00287E6E" w:rsidRPr="00BC4AD2" w:rsidTr="00881FE1">
        <w:trPr>
          <w:cnfStyle w:val="100000000000"/>
          <w:trHeight w:val="300"/>
        </w:trPr>
        <w:tc>
          <w:tcPr>
            <w:cnfStyle w:val="001000000000"/>
            <w:tcW w:w="116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  <w:t>Year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Three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Four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Five</w:t>
            </w:r>
          </w:p>
        </w:tc>
        <w:tc>
          <w:tcPr>
            <w:tcW w:w="609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Net cash from Ops</w:t>
            </w:r>
          </w:p>
        </w:tc>
      </w:tr>
      <w:tr w:rsidR="00881FE1" w:rsidRPr="00BC4AD2" w:rsidTr="00F807E3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Net cash </w:t>
            </w:r>
          </w:p>
        </w:tc>
        <w:tc>
          <w:tcPr>
            <w:tcW w:w="78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(2,134,800)</w:t>
            </w:r>
          </w:p>
        </w:tc>
        <w:tc>
          <w:tcPr>
            <w:tcW w:w="690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540,990 </w:t>
            </w:r>
          </w:p>
        </w:tc>
        <w:tc>
          <w:tcPr>
            <w:tcW w:w="609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567,870 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610,950 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782,370 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1FE1" w:rsidRDefault="00881FE1" w:rsidP="00EF0E53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367,380 </w:t>
            </w:r>
          </w:p>
        </w:tc>
      </w:tr>
      <w:tr w:rsidR="00881FE1" w:rsidRPr="00BC4AD2" w:rsidTr="00881FE1">
        <w:trPr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(999,000)</w:t>
            </w:r>
          </w:p>
        </w:tc>
        <w:tc>
          <w:tcPr>
            <w:tcW w:w="690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(3,133,800)</w:t>
            </w:r>
          </w:p>
        </w:tc>
        <w:tc>
          <w:tcPr>
            <w:tcW w:w="609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(2,592,810)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(2,024,940)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1,413,990)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(999,000)</w:t>
            </w:r>
          </w:p>
        </w:tc>
      </w:tr>
      <w:tr w:rsidR="00881FE1" w:rsidRPr="00BC4AD2" w:rsidTr="00881FE1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Closing balance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(3,133,800)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(2,592,810)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(2,024,940)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(1,413,990)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(631,620)</w:t>
            </w:r>
          </w:p>
        </w:tc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(631,620)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Pr="00C3575B" w:rsidRDefault="00E80155" w:rsidP="00E8015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Impact on 5 years </w:t>
      </w:r>
      <w:r w:rsidRPr="00C3575B">
        <w:rPr>
          <w:rFonts w:ascii="Arial" w:hAnsi="Arial" w:cs="Arial"/>
          <w:b/>
          <w:sz w:val="24"/>
          <w:szCs w:val="24"/>
          <w:u w:val="single"/>
        </w:rPr>
        <w:t>cash flow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C357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LightShading-Accent5"/>
        <w:tblW w:w="4208" w:type="pct"/>
        <w:tblLayout w:type="fixed"/>
        <w:tblLook w:val="04A0"/>
      </w:tblPr>
      <w:tblGrid>
        <w:gridCol w:w="2589"/>
        <w:gridCol w:w="1748"/>
        <w:gridCol w:w="1530"/>
        <w:gridCol w:w="1351"/>
        <w:gridCol w:w="1260"/>
        <w:gridCol w:w="1260"/>
        <w:gridCol w:w="1351"/>
      </w:tblGrid>
      <w:tr w:rsidR="00E80155" w:rsidRPr="00BC4AD2" w:rsidTr="00F7607C">
        <w:trPr>
          <w:cnfStyle w:val="100000000000"/>
          <w:trHeight w:val="300"/>
        </w:trPr>
        <w:tc>
          <w:tcPr>
            <w:cnfStyle w:val="001000000000"/>
            <w:tcW w:w="116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  <w:t>Year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Three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Four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Five</w:t>
            </w:r>
          </w:p>
        </w:tc>
        <w:tc>
          <w:tcPr>
            <w:tcW w:w="609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Net cash from Ops</w:t>
            </w:r>
          </w:p>
        </w:tc>
      </w:tr>
      <w:tr w:rsidR="0073301C" w:rsidRPr="00BC4AD2" w:rsidTr="00F807E3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73301C" w:rsidRPr="00BC4AD2" w:rsidRDefault="0073301C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Net cash </w:t>
            </w:r>
          </w:p>
        </w:tc>
        <w:tc>
          <w:tcPr>
            <w:tcW w:w="788" w:type="pct"/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(1,356,800)</w:t>
            </w:r>
          </w:p>
        </w:tc>
        <w:tc>
          <w:tcPr>
            <w:tcW w:w="690" w:type="pct"/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475,590 </w:t>
            </w:r>
          </w:p>
        </w:tc>
        <w:tc>
          <w:tcPr>
            <w:tcW w:w="609" w:type="pct"/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502,470 </w:t>
            </w:r>
          </w:p>
        </w:tc>
        <w:tc>
          <w:tcPr>
            <w:tcW w:w="568" w:type="pct"/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545,550 </w:t>
            </w:r>
          </w:p>
        </w:tc>
        <w:tc>
          <w:tcPr>
            <w:tcW w:w="568" w:type="pct"/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716,970 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883,780 </w:t>
            </w:r>
          </w:p>
        </w:tc>
      </w:tr>
      <w:tr w:rsidR="0073301C" w:rsidRPr="00BC4AD2" w:rsidTr="00F7607C">
        <w:trPr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73301C" w:rsidRPr="00BC4AD2" w:rsidRDefault="0073301C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8" w:type="pct"/>
            <w:noWrap/>
            <w:vAlign w:val="bottom"/>
            <w:hideMark/>
          </w:tcPr>
          <w:p w:rsidR="0073301C" w:rsidRDefault="0073301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(999,000)</w:t>
            </w:r>
          </w:p>
        </w:tc>
        <w:tc>
          <w:tcPr>
            <w:tcW w:w="690" w:type="pct"/>
            <w:noWrap/>
            <w:vAlign w:val="bottom"/>
            <w:hideMark/>
          </w:tcPr>
          <w:p w:rsidR="0073301C" w:rsidRDefault="0073301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(2,355,800)</w:t>
            </w:r>
          </w:p>
        </w:tc>
        <w:tc>
          <w:tcPr>
            <w:tcW w:w="609" w:type="pct"/>
            <w:noWrap/>
            <w:vAlign w:val="bottom"/>
            <w:hideMark/>
          </w:tcPr>
          <w:p w:rsidR="0073301C" w:rsidRDefault="0073301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(1,880,210)</w:t>
            </w:r>
          </w:p>
        </w:tc>
        <w:tc>
          <w:tcPr>
            <w:tcW w:w="568" w:type="pct"/>
            <w:noWrap/>
            <w:vAlign w:val="bottom"/>
            <w:hideMark/>
          </w:tcPr>
          <w:p w:rsidR="0073301C" w:rsidRDefault="0073301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(1,377,740)</w:t>
            </w:r>
          </w:p>
        </w:tc>
        <w:tc>
          <w:tcPr>
            <w:tcW w:w="568" w:type="pct"/>
            <w:noWrap/>
            <w:vAlign w:val="bottom"/>
            <w:hideMark/>
          </w:tcPr>
          <w:p w:rsidR="0073301C" w:rsidRDefault="0073301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(832,190)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73301C" w:rsidRDefault="0073301C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(999,000)</w:t>
            </w:r>
          </w:p>
        </w:tc>
      </w:tr>
      <w:tr w:rsidR="0073301C" w:rsidRPr="00BC4AD2" w:rsidTr="00F7607C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73301C" w:rsidRPr="00BC4AD2" w:rsidRDefault="0073301C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Closing balance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(2,355,800)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(1,880,210)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(1,377,740)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(832,190)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(115,220)</w:t>
            </w:r>
          </w:p>
        </w:tc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01C" w:rsidRDefault="0073301C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(115,220)</w:t>
            </w:r>
          </w:p>
        </w:tc>
      </w:tr>
    </w:tbl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Default="00F807E3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cash generated from the business over the five years has improved from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 xml:space="preserve"> 367.38 million to </w:t>
      </w:r>
      <w:proofErr w:type="spellStart"/>
      <w:r w:rsidR="007D7369">
        <w:rPr>
          <w:rFonts w:ascii="Arial" w:hAnsi="Arial" w:cs="Arial"/>
          <w:sz w:val="24"/>
          <w:szCs w:val="24"/>
        </w:rPr>
        <w:t>shs</w:t>
      </w:r>
      <w:proofErr w:type="spellEnd"/>
      <w:r w:rsidR="007D7369">
        <w:rPr>
          <w:rFonts w:ascii="Arial" w:hAnsi="Arial" w:cs="Arial"/>
          <w:sz w:val="24"/>
          <w:szCs w:val="24"/>
        </w:rPr>
        <w:t xml:space="preserve"> 8</w:t>
      </w:r>
      <w:r w:rsidR="00101B10">
        <w:rPr>
          <w:rFonts w:ascii="Arial" w:hAnsi="Arial" w:cs="Arial"/>
          <w:sz w:val="24"/>
          <w:szCs w:val="24"/>
        </w:rPr>
        <w:t>6</w:t>
      </w:r>
      <w:r w:rsidR="0073301C">
        <w:rPr>
          <w:rFonts w:ascii="Arial" w:hAnsi="Arial" w:cs="Arial"/>
          <w:sz w:val="24"/>
          <w:szCs w:val="24"/>
        </w:rPr>
        <w:t>8</w:t>
      </w:r>
      <w:r w:rsidR="007D7369">
        <w:rPr>
          <w:rFonts w:ascii="Arial" w:hAnsi="Arial" w:cs="Arial"/>
          <w:sz w:val="24"/>
          <w:szCs w:val="24"/>
        </w:rPr>
        <w:t>3.</w:t>
      </w:r>
      <w:r w:rsidR="0073301C">
        <w:rPr>
          <w:rFonts w:ascii="Arial" w:hAnsi="Arial" w:cs="Arial"/>
          <w:sz w:val="24"/>
          <w:szCs w:val="24"/>
        </w:rPr>
        <w:t>7</w:t>
      </w:r>
      <w:r w:rsidR="007D736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million.</w:t>
      </w: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sectPr w:rsidR="00E80155" w:rsidSect="00287E6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643" w:rsidRDefault="004E5643" w:rsidP="00A24331">
      <w:pPr>
        <w:spacing w:after="0" w:line="240" w:lineRule="auto"/>
      </w:pPr>
      <w:r>
        <w:separator/>
      </w:r>
    </w:p>
  </w:endnote>
  <w:endnote w:type="continuationSeparator" w:id="0">
    <w:p w:rsidR="004E5643" w:rsidRDefault="004E5643" w:rsidP="00A2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643" w:rsidRDefault="004E5643" w:rsidP="00A24331">
      <w:pPr>
        <w:spacing w:after="0" w:line="240" w:lineRule="auto"/>
      </w:pPr>
      <w:r>
        <w:separator/>
      </w:r>
    </w:p>
  </w:footnote>
  <w:footnote w:type="continuationSeparator" w:id="0">
    <w:p w:rsidR="004E5643" w:rsidRDefault="004E5643" w:rsidP="00A2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31" w:rsidRDefault="00EF4CC2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-37pt;width:516.5pt;height:70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" fillcolor="white [3201]" stroked="f" strokeweight="2pt">
          <v:textbox style="mso-fit-shape-to-text:t">
            <w:txbxContent>
              <w:p w:rsidR="00A24331" w:rsidRDefault="00A24331" w:rsidP="00A24331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54911" cy="616661"/>
                      <wp:effectExtent l="0" t="0" r="762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684" cy="61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</w:t>
                </w:r>
                <w:r w:rsidRPr="00271207">
                  <w:rPr>
                    <w:rFonts w:ascii="Constantia" w:hAnsi="Constantia"/>
                    <w:i/>
                    <w:sz w:val="20"/>
                    <w:szCs w:val="20"/>
                  </w:rPr>
                  <w:t>Training in Financial &amp; Business Management for Road Contractors</w:t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  </w:t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71600" cy="403860"/>
                      <wp:effectExtent l="0" t="0" r="0" b="0"/>
                      <wp:docPr id="12" name="Picture 12" descr="Description: C:\Users\CROSSR~1\AppData\Local\Temp\CrossRoads Logo with Slog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escription: C:\Users\CROSSR~1\AppData\Local\Temp\CrossRoads Logo with Sloga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sdt>
      <w:sdtPr>
        <w:id w:val="565049494"/>
        <w:placeholder>
          <w:docPart w:val="8CDFEEE3C97D43C68BF542F2BDF8E64A"/>
        </w:placeholder>
        <w:temporary/>
        <w:showingPlcHdr/>
      </w:sdtPr>
      <w:sdtContent>
        <w:r w:rsidR="00A24331">
          <w:t>[Type text]</w:t>
        </w:r>
      </w:sdtContent>
    </w:sdt>
    <w:r w:rsidR="00A24331">
      <w:ptab w:relativeTo="margin" w:alignment="center" w:leader="none"/>
    </w:r>
    <w:sdt>
      <w:sdtPr>
        <w:id w:val="968859947"/>
        <w:placeholder>
          <w:docPart w:val="2848C345C8394C789E3615F9814FBE82"/>
        </w:placeholder>
        <w:temporary/>
        <w:showingPlcHdr/>
      </w:sdtPr>
      <w:sdtContent>
        <w:r w:rsidR="00A24331">
          <w:t>[Type text]</w:t>
        </w:r>
      </w:sdtContent>
    </w:sdt>
    <w:r w:rsidR="00A24331">
      <w:ptab w:relativeTo="margin" w:alignment="right" w:leader="none"/>
    </w:r>
    <w:sdt>
      <w:sdtPr>
        <w:id w:val="968859952"/>
        <w:placeholder>
          <w:docPart w:val="1CC05BA8CEB4413EB00CBBD6B07512FE"/>
        </w:placeholder>
        <w:temporary/>
        <w:showingPlcHdr/>
      </w:sdtPr>
      <w:sdtContent>
        <w:r w:rsidR="00A24331">
          <w:t>[Type text]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4331"/>
    <w:rsid w:val="00040F07"/>
    <w:rsid w:val="0007647F"/>
    <w:rsid w:val="000B3059"/>
    <w:rsid w:val="000D1FF0"/>
    <w:rsid w:val="000F74D3"/>
    <w:rsid w:val="00101B10"/>
    <w:rsid w:val="00186236"/>
    <w:rsid w:val="001D17C7"/>
    <w:rsid w:val="001D631F"/>
    <w:rsid w:val="0025528E"/>
    <w:rsid w:val="002641F7"/>
    <w:rsid w:val="00287E6E"/>
    <w:rsid w:val="0031149F"/>
    <w:rsid w:val="003470B9"/>
    <w:rsid w:val="003C2574"/>
    <w:rsid w:val="00427413"/>
    <w:rsid w:val="00462454"/>
    <w:rsid w:val="004729D2"/>
    <w:rsid w:val="004E05D0"/>
    <w:rsid w:val="004E5643"/>
    <w:rsid w:val="00526738"/>
    <w:rsid w:val="00582621"/>
    <w:rsid w:val="005B0A21"/>
    <w:rsid w:val="00683899"/>
    <w:rsid w:val="006A7064"/>
    <w:rsid w:val="006B6333"/>
    <w:rsid w:val="006D67C9"/>
    <w:rsid w:val="006D7248"/>
    <w:rsid w:val="0073301C"/>
    <w:rsid w:val="007D3F5E"/>
    <w:rsid w:val="007D7369"/>
    <w:rsid w:val="007F183C"/>
    <w:rsid w:val="00817F9C"/>
    <w:rsid w:val="00847310"/>
    <w:rsid w:val="00881FE1"/>
    <w:rsid w:val="009349E9"/>
    <w:rsid w:val="00941A07"/>
    <w:rsid w:val="00957D1B"/>
    <w:rsid w:val="00977BD5"/>
    <w:rsid w:val="0099743B"/>
    <w:rsid w:val="00A20718"/>
    <w:rsid w:val="00A24331"/>
    <w:rsid w:val="00A915CE"/>
    <w:rsid w:val="00B20B7A"/>
    <w:rsid w:val="00B5699C"/>
    <w:rsid w:val="00B8023C"/>
    <w:rsid w:val="00BC784E"/>
    <w:rsid w:val="00C5212C"/>
    <w:rsid w:val="00C574BA"/>
    <w:rsid w:val="00CA2695"/>
    <w:rsid w:val="00CE69B1"/>
    <w:rsid w:val="00DB4FED"/>
    <w:rsid w:val="00DE03A1"/>
    <w:rsid w:val="00E22016"/>
    <w:rsid w:val="00E80155"/>
    <w:rsid w:val="00E90377"/>
    <w:rsid w:val="00EF0E53"/>
    <w:rsid w:val="00EF4CC2"/>
    <w:rsid w:val="00EF5EFE"/>
    <w:rsid w:val="00F02567"/>
    <w:rsid w:val="00F14AAD"/>
    <w:rsid w:val="00F312AD"/>
    <w:rsid w:val="00F436C7"/>
    <w:rsid w:val="00F807E3"/>
    <w:rsid w:val="00FD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33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2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331"/>
    <w:rPr>
      <w:lang w:val="en-GB"/>
    </w:rPr>
  </w:style>
  <w:style w:type="table" w:styleId="LightShading-Accent5">
    <w:name w:val="Light Shading Accent 5"/>
    <w:basedOn w:val="TableNormal"/>
    <w:uiPriority w:val="60"/>
    <w:rsid w:val="00287E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DFEEE3C97D43C68BF542F2BDF8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57AC-F341-4321-A185-599868C7D821}"/>
      </w:docPartPr>
      <w:docPartBody>
        <w:p w:rsidR="000D160C" w:rsidRDefault="004F467A" w:rsidP="004F467A">
          <w:pPr>
            <w:pStyle w:val="8CDFEEE3C97D43C68BF542F2BDF8E64A"/>
          </w:pPr>
          <w:r>
            <w:t>[Type text]</w:t>
          </w:r>
        </w:p>
      </w:docPartBody>
    </w:docPart>
    <w:docPart>
      <w:docPartPr>
        <w:name w:val="2848C345C8394C789E3615F9814F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36B4-906C-4442-B11C-66605559836D}"/>
      </w:docPartPr>
      <w:docPartBody>
        <w:p w:rsidR="000D160C" w:rsidRDefault="004F467A" w:rsidP="004F467A">
          <w:pPr>
            <w:pStyle w:val="2848C345C8394C789E3615F9814FBE82"/>
          </w:pPr>
          <w:r>
            <w:t>[Type text]</w:t>
          </w:r>
        </w:p>
      </w:docPartBody>
    </w:docPart>
    <w:docPart>
      <w:docPartPr>
        <w:name w:val="1CC05BA8CEB4413EB00CBBD6B075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58A4-BEA7-43F9-B642-67A6735610AC}"/>
      </w:docPartPr>
      <w:docPartBody>
        <w:p w:rsidR="000D160C" w:rsidRDefault="004F467A" w:rsidP="004F467A">
          <w:pPr>
            <w:pStyle w:val="1CC05BA8CEB4413EB00CBBD6B07512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F467A"/>
    <w:rsid w:val="000D160C"/>
    <w:rsid w:val="001C238D"/>
    <w:rsid w:val="002C56AE"/>
    <w:rsid w:val="002F2569"/>
    <w:rsid w:val="0035020A"/>
    <w:rsid w:val="00447DF4"/>
    <w:rsid w:val="004F467A"/>
    <w:rsid w:val="005D2985"/>
    <w:rsid w:val="00AF739C"/>
    <w:rsid w:val="00FB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DFEEE3C97D43C68BF542F2BDF8E64A">
    <w:name w:val="8CDFEEE3C97D43C68BF542F2BDF8E64A"/>
    <w:rsid w:val="004F467A"/>
  </w:style>
  <w:style w:type="paragraph" w:customStyle="1" w:styleId="2848C345C8394C789E3615F9814FBE82">
    <w:name w:val="2848C345C8394C789E3615F9814FBE82"/>
    <w:rsid w:val="004F467A"/>
  </w:style>
  <w:style w:type="paragraph" w:customStyle="1" w:styleId="1CC05BA8CEB4413EB00CBBD6B07512FE">
    <w:name w:val="1CC05BA8CEB4413EB00CBBD6B07512FE"/>
    <w:rsid w:val="004F46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92907-DE3E-4FD0-9376-D90410ED35A2}"/>
</file>

<file path=customXml/itemProps2.xml><?xml version="1.0" encoding="utf-8"?>
<ds:datastoreItem xmlns:ds="http://schemas.openxmlformats.org/officeDocument/2006/customXml" ds:itemID="{9F2591B6-B686-49E4-8843-FCB098732B9E}"/>
</file>

<file path=customXml/itemProps3.xml><?xml version="1.0" encoding="utf-8"?>
<ds:datastoreItem xmlns:ds="http://schemas.openxmlformats.org/officeDocument/2006/customXml" ds:itemID="{51C35FEF-6430-4E1F-A916-219AF50C9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Ssemmanda</dc:creator>
  <cp:keywords>TRT009</cp:keywords>
  <dc:description/>
  <cp:lastModifiedBy>Ssemmanda</cp:lastModifiedBy>
  <cp:revision>12</cp:revision>
  <dcterms:created xsi:type="dcterms:W3CDTF">2012-08-09T00:40:00Z</dcterms:created>
  <dcterms:modified xsi:type="dcterms:W3CDTF">2012-08-23T04:09:00Z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