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31" w:rsidRPr="00DA464F" w:rsidRDefault="00A24331" w:rsidP="00A243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A464F">
        <w:rPr>
          <w:rFonts w:ascii="Arial" w:hAnsi="Arial" w:cs="Arial"/>
          <w:b/>
          <w:sz w:val="24"/>
          <w:szCs w:val="24"/>
        </w:rPr>
        <w:t>TRAINING IN FINANCIAL AND BUSINESS MANAGEMENT FOR ROAD CONTRACTORS</w:t>
      </w:r>
    </w:p>
    <w:p w:rsidR="00A24331" w:rsidRPr="00DA464F" w:rsidRDefault="00A24331" w:rsidP="00A243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464F">
        <w:rPr>
          <w:rFonts w:ascii="Arial" w:hAnsi="Arial" w:cs="Arial"/>
          <w:b/>
          <w:sz w:val="24"/>
          <w:szCs w:val="24"/>
        </w:rPr>
        <w:t xml:space="preserve">MODULE </w:t>
      </w:r>
      <w:r>
        <w:rPr>
          <w:rFonts w:ascii="Arial" w:hAnsi="Arial" w:cs="Arial"/>
          <w:b/>
          <w:sz w:val="24"/>
          <w:szCs w:val="24"/>
        </w:rPr>
        <w:t>TWO</w:t>
      </w:r>
      <w:r w:rsidRPr="00DA464F">
        <w:rPr>
          <w:rFonts w:ascii="Arial" w:hAnsi="Arial" w:cs="Arial"/>
          <w:b/>
          <w:sz w:val="24"/>
          <w:szCs w:val="24"/>
        </w:rPr>
        <w:t xml:space="preserve"> SESSION </w:t>
      </w:r>
      <w:r>
        <w:rPr>
          <w:rFonts w:ascii="Arial" w:hAnsi="Arial" w:cs="Arial"/>
          <w:b/>
          <w:sz w:val="24"/>
          <w:szCs w:val="24"/>
        </w:rPr>
        <w:t>SIX</w:t>
      </w:r>
      <w:r w:rsidRPr="00DA464F">
        <w:rPr>
          <w:rFonts w:ascii="Arial" w:hAnsi="Arial" w:cs="Arial"/>
          <w:b/>
          <w:sz w:val="24"/>
          <w:szCs w:val="24"/>
        </w:rPr>
        <w:t xml:space="preserve"> PARTICIPANTS’ NOTES</w:t>
      </w:r>
    </w:p>
    <w:p w:rsidR="00A24331" w:rsidRPr="0093420A" w:rsidRDefault="00A24331" w:rsidP="00A24331">
      <w:pPr>
        <w:jc w:val="center"/>
        <w:rPr>
          <w:rFonts w:ascii="Arial" w:hAnsi="Arial" w:cs="Arial"/>
          <w:b/>
          <w:sz w:val="24"/>
          <w:szCs w:val="24"/>
        </w:rPr>
      </w:pPr>
      <w:r w:rsidRPr="0093420A">
        <w:rPr>
          <w:rFonts w:ascii="Arial" w:hAnsi="Arial" w:cs="Arial"/>
          <w:b/>
          <w:sz w:val="24"/>
          <w:szCs w:val="24"/>
        </w:rPr>
        <w:t>SCENARIO ANALYSIS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C0398">
        <w:rPr>
          <w:rFonts w:ascii="Arial" w:hAnsi="Arial" w:cs="Arial"/>
          <w:b/>
          <w:sz w:val="24"/>
          <w:szCs w:val="24"/>
        </w:rPr>
        <w:t>6</w:t>
      </w:r>
    </w:p>
    <w:p w:rsidR="00A24331" w:rsidRPr="0093420A" w:rsidRDefault="005C0398" w:rsidP="00A2433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Purchasing material and fuel on 30 days credit.</w:t>
      </w:r>
      <w:proofErr w:type="gramEnd"/>
    </w:p>
    <w:p w:rsidR="00A24331" w:rsidRPr="0093420A" w:rsidRDefault="00A24331" w:rsidP="00A24331">
      <w:pPr>
        <w:rPr>
          <w:rFonts w:ascii="Arial" w:hAnsi="Arial" w:cs="Arial"/>
          <w:sz w:val="24"/>
          <w:szCs w:val="24"/>
        </w:rPr>
      </w:pPr>
      <w:r w:rsidRPr="0093420A">
        <w:rPr>
          <w:rFonts w:ascii="Arial" w:hAnsi="Arial" w:cs="Arial"/>
          <w:sz w:val="24"/>
          <w:szCs w:val="24"/>
        </w:rPr>
        <w:t xml:space="preserve">Implication: </w:t>
      </w:r>
      <w:r w:rsidR="005C0398">
        <w:rPr>
          <w:rFonts w:ascii="Arial" w:hAnsi="Arial" w:cs="Arial"/>
          <w:sz w:val="24"/>
          <w:szCs w:val="24"/>
        </w:rPr>
        <w:t xml:space="preserve">Instead of paying material of </w:t>
      </w:r>
      <w:proofErr w:type="spellStart"/>
      <w:r w:rsidR="005C0398">
        <w:rPr>
          <w:rFonts w:ascii="Arial" w:hAnsi="Arial" w:cs="Arial"/>
          <w:sz w:val="24"/>
          <w:szCs w:val="24"/>
        </w:rPr>
        <w:t>shs</w:t>
      </w:r>
      <w:proofErr w:type="spellEnd"/>
      <w:r w:rsidR="005C0398">
        <w:rPr>
          <w:rFonts w:ascii="Arial" w:hAnsi="Arial" w:cs="Arial"/>
          <w:sz w:val="24"/>
          <w:szCs w:val="24"/>
        </w:rPr>
        <w:t xml:space="preserve"> 384m and fuel of </w:t>
      </w:r>
      <w:proofErr w:type="spellStart"/>
      <w:r w:rsidR="005C0398">
        <w:rPr>
          <w:rFonts w:ascii="Arial" w:hAnsi="Arial" w:cs="Arial"/>
          <w:sz w:val="24"/>
          <w:szCs w:val="24"/>
        </w:rPr>
        <w:t>shs</w:t>
      </w:r>
      <w:proofErr w:type="spellEnd"/>
      <w:r w:rsidR="005C0398">
        <w:rPr>
          <w:rFonts w:ascii="Arial" w:hAnsi="Arial" w:cs="Arial"/>
          <w:sz w:val="24"/>
          <w:szCs w:val="24"/>
        </w:rPr>
        <w:t xml:space="preserve"> 63m in the month it will be paid in the following one</w:t>
      </w:r>
      <w:r w:rsidR="003470B9">
        <w:rPr>
          <w:rFonts w:ascii="Arial" w:hAnsi="Arial" w:cs="Arial"/>
          <w:sz w:val="24"/>
          <w:szCs w:val="24"/>
        </w:rPr>
        <w:t>.</w:t>
      </w:r>
    </w:p>
    <w:p w:rsidR="00287E6E" w:rsidRPr="00832D26" w:rsidRDefault="00287E6E" w:rsidP="00287E6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</w:t>
      </w:r>
      <w:r w:rsidRPr="00832D26">
        <w:rPr>
          <w:rFonts w:ascii="Arial" w:hAnsi="Arial" w:cs="Arial"/>
          <w:b/>
          <w:sz w:val="24"/>
          <w:szCs w:val="24"/>
          <w:u w:val="single"/>
        </w:rPr>
        <w:t>ncome (12 months):</w:t>
      </w:r>
    </w:p>
    <w:tbl>
      <w:tblPr>
        <w:tblStyle w:val="LightShading-Accent5"/>
        <w:tblW w:w="5000" w:type="pct"/>
        <w:tblLook w:val="04A0"/>
      </w:tblPr>
      <w:tblGrid>
        <w:gridCol w:w="1691"/>
        <w:gridCol w:w="221"/>
        <w:gridCol w:w="1171"/>
        <w:gridCol w:w="1140"/>
        <w:gridCol w:w="1079"/>
        <w:gridCol w:w="1018"/>
        <w:gridCol w:w="744"/>
        <w:gridCol w:w="744"/>
        <w:gridCol w:w="744"/>
        <w:gridCol w:w="744"/>
        <w:gridCol w:w="744"/>
        <w:gridCol w:w="744"/>
        <w:gridCol w:w="744"/>
        <w:gridCol w:w="744"/>
        <w:gridCol w:w="904"/>
      </w:tblGrid>
      <w:tr w:rsidR="00287E6E" w:rsidRPr="00E94110" w:rsidTr="00F7607C">
        <w:trPr>
          <w:cnfStyle w:val="100000000000"/>
          <w:trHeight w:val="300"/>
        </w:trPr>
        <w:tc>
          <w:tcPr>
            <w:cnfStyle w:val="001000000000"/>
            <w:tcW w:w="629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9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Jan</w:t>
            </w:r>
          </w:p>
        </w:tc>
        <w:tc>
          <w:tcPr>
            <w:tcW w:w="43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Feb</w:t>
            </w:r>
          </w:p>
        </w:tc>
        <w:tc>
          <w:tcPr>
            <w:tcW w:w="410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Mar</w:t>
            </w:r>
          </w:p>
        </w:tc>
        <w:tc>
          <w:tcPr>
            <w:tcW w:w="387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Apr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May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June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Jul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Aug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Sept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Oct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Nov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Dec</w:t>
            </w:r>
          </w:p>
        </w:tc>
        <w:tc>
          <w:tcPr>
            <w:tcW w:w="343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Total</w:t>
            </w:r>
          </w:p>
        </w:tc>
      </w:tr>
      <w:tr w:rsidR="00287E6E" w:rsidRPr="00E94110" w:rsidTr="00F7607C">
        <w:trPr>
          <w:cnfStyle w:val="000000100000"/>
          <w:trHeight w:val="300"/>
        </w:trPr>
        <w:tc>
          <w:tcPr>
            <w:cnfStyle w:val="001000000000"/>
            <w:tcW w:w="629" w:type="pct"/>
            <w:tcBorders>
              <w:lef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Net profit</w:t>
            </w:r>
          </w:p>
        </w:tc>
        <w:tc>
          <w:tcPr>
            <w:tcW w:w="89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75,725 </w:t>
            </w:r>
          </w:p>
        </w:tc>
        <w:tc>
          <w:tcPr>
            <w:tcW w:w="43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75,725 </w:t>
            </w:r>
          </w:p>
        </w:tc>
        <w:tc>
          <w:tcPr>
            <w:tcW w:w="410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75,725 </w:t>
            </w:r>
          </w:p>
        </w:tc>
        <w:tc>
          <w:tcPr>
            <w:tcW w:w="387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908,700 </w:t>
            </w:r>
          </w:p>
        </w:tc>
      </w:tr>
      <w:tr w:rsidR="00287E6E" w:rsidRPr="00E94110" w:rsidTr="00F7607C">
        <w:trPr>
          <w:trHeight w:val="300"/>
        </w:trPr>
        <w:tc>
          <w:tcPr>
            <w:cnfStyle w:val="001000000000"/>
            <w:tcW w:w="629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Provision for taxation 30%</w:t>
            </w:r>
          </w:p>
        </w:tc>
        <w:tc>
          <w:tcPr>
            <w:tcW w:w="89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           22,718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          22,718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        22,718 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 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343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272,610 </w:t>
            </w:r>
          </w:p>
        </w:tc>
      </w:tr>
      <w:tr w:rsidR="00287E6E" w:rsidRPr="00E94110" w:rsidTr="00F7607C">
        <w:trPr>
          <w:cnfStyle w:val="000000100000"/>
          <w:trHeight w:val="300"/>
        </w:trPr>
        <w:tc>
          <w:tcPr>
            <w:cnfStyle w:val="001000000000"/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Profit after Taxation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           53,008 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          53,008 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        53,008 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 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636,090 </w:t>
            </w:r>
          </w:p>
        </w:tc>
      </w:tr>
    </w:tbl>
    <w:p w:rsidR="00287E6E" w:rsidRDefault="00287E6E" w:rsidP="00287E6E">
      <w:pPr>
        <w:rPr>
          <w:rFonts w:ascii="Arial" w:hAnsi="Arial" w:cs="Arial"/>
          <w:sz w:val="18"/>
          <w:szCs w:val="18"/>
        </w:rPr>
      </w:pPr>
    </w:p>
    <w:p w:rsidR="00EF0E53" w:rsidRPr="00EF0E53" w:rsidRDefault="00EF0E53" w:rsidP="00287E6E">
      <w:pPr>
        <w:rPr>
          <w:rFonts w:ascii="Arial" w:hAnsi="Arial" w:cs="Arial"/>
          <w:sz w:val="24"/>
          <w:szCs w:val="24"/>
        </w:rPr>
      </w:pPr>
      <w:r w:rsidRPr="00EF0E53">
        <w:rPr>
          <w:rFonts w:ascii="Arial" w:hAnsi="Arial" w:cs="Arial"/>
          <w:sz w:val="24"/>
          <w:szCs w:val="24"/>
        </w:rPr>
        <w:t>Impact on 12 months</w:t>
      </w:r>
      <w:r w:rsidR="00683899">
        <w:rPr>
          <w:rFonts w:ascii="Arial" w:hAnsi="Arial" w:cs="Arial"/>
          <w:sz w:val="24"/>
          <w:szCs w:val="24"/>
        </w:rPr>
        <w:t xml:space="preserve"> Income</w:t>
      </w:r>
      <w:r w:rsidRPr="00EF0E53">
        <w:rPr>
          <w:rFonts w:ascii="Arial" w:hAnsi="Arial" w:cs="Arial"/>
          <w:sz w:val="24"/>
          <w:szCs w:val="24"/>
        </w:rPr>
        <w:t>:</w:t>
      </w:r>
    </w:p>
    <w:p w:rsidR="00287E6E" w:rsidRDefault="005C0398" w:rsidP="00287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changes will not impact the income statements</w:t>
      </w:r>
      <w:r w:rsidR="003470B9">
        <w:rPr>
          <w:rFonts w:ascii="Arial" w:hAnsi="Arial" w:cs="Arial"/>
          <w:sz w:val="24"/>
          <w:szCs w:val="24"/>
        </w:rPr>
        <w:t>.</w:t>
      </w:r>
    </w:p>
    <w:p w:rsidR="00287E6E" w:rsidRPr="00C3575B" w:rsidRDefault="00E80155" w:rsidP="00287E6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Projected c</w:t>
      </w:r>
      <w:r w:rsidR="00287E6E" w:rsidRPr="00C3575B">
        <w:rPr>
          <w:rFonts w:ascii="Arial" w:hAnsi="Arial" w:cs="Arial"/>
          <w:b/>
          <w:sz w:val="24"/>
          <w:szCs w:val="24"/>
          <w:u w:val="single"/>
        </w:rPr>
        <w:t>ash flow (12 months):</w:t>
      </w:r>
    </w:p>
    <w:tbl>
      <w:tblPr>
        <w:tblW w:w="5751" w:type="pc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8"/>
        <w:gridCol w:w="240"/>
        <w:gridCol w:w="1259"/>
        <w:gridCol w:w="1135"/>
        <w:gridCol w:w="1110"/>
        <w:gridCol w:w="1073"/>
        <w:gridCol w:w="1073"/>
        <w:gridCol w:w="1109"/>
        <w:gridCol w:w="1034"/>
        <w:gridCol w:w="1034"/>
        <w:gridCol w:w="1003"/>
        <w:gridCol w:w="1073"/>
        <w:gridCol w:w="1037"/>
        <w:gridCol w:w="967"/>
      </w:tblGrid>
      <w:tr w:rsidR="00287E6E" w:rsidRPr="004B3367" w:rsidTr="00F7607C">
        <w:trPr>
          <w:trHeight w:val="348"/>
        </w:trPr>
        <w:tc>
          <w:tcPr>
            <w:tcW w:w="662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ind w:left="289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9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15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Jan</w:t>
            </w:r>
          </w:p>
        </w:tc>
        <w:tc>
          <w:tcPr>
            <w:tcW w:w="374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Feb</w:t>
            </w:r>
          </w:p>
        </w:tc>
        <w:tc>
          <w:tcPr>
            <w:tcW w:w="366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Mar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Apr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May</w:t>
            </w:r>
          </w:p>
        </w:tc>
        <w:tc>
          <w:tcPr>
            <w:tcW w:w="366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June</w:t>
            </w:r>
          </w:p>
        </w:tc>
        <w:tc>
          <w:tcPr>
            <w:tcW w:w="341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July</w:t>
            </w:r>
          </w:p>
        </w:tc>
        <w:tc>
          <w:tcPr>
            <w:tcW w:w="341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Aug</w:t>
            </w:r>
          </w:p>
        </w:tc>
        <w:tc>
          <w:tcPr>
            <w:tcW w:w="331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Sep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Oct</w:t>
            </w:r>
          </w:p>
        </w:tc>
        <w:tc>
          <w:tcPr>
            <w:tcW w:w="342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Nov</w:t>
            </w:r>
          </w:p>
        </w:tc>
        <w:tc>
          <w:tcPr>
            <w:tcW w:w="319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Dec</w:t>
            </w:r>
          </w:p>
        </w:tc>
      </w:tr>
      <w:tr w:rsidR="007D7369" w:rsidRPr="004B3367" w:rsidTr="00DE734C">
        <w:trPr>
          <w:trHeight w:val="348"/>
        </w:trPr>
        <w:tc>
          <w:tcPr>
            <w:tcW w:w="662" w:type="pct"/>
            <w:shd w:val="clear" w:color="auto" w:fill="auto"/>
            <w:noWrap/>
            <w:hideMark/>
          </w:tcPr>
          <w:p w:rsidR="007D7369" w:rsidRPr="004B3367" w:rsidRDefault="007D7369" w:rsidP="00881FE1">
            <w:pPr>
              <w:spacing w:before="120" w:after="0" w:line="240" w:lineRule="auto"/>
              <w:ind w:left="2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Net cash</w:t>
            </w:r>
          </w:p>
        </w:tc>
        <w:tc>
          <w:tcPr>
            <w:tcW w:w="79" w:type="pct"/>
            <w:shd w:val="clear" w:color="auto" w:fill="auto"/>
            <w:noWrap/>
            <w:hideMark/>
          </w:tcPr>
          <w:p w:rsidR="007D7369" w:rsidRPr="004B3367" w:rsidRDefault="007D7369" w:rsidP="00881FE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(1,945,400)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(835,400)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(835,400)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964,600 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(835,400)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964,600 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(835,400)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964,600 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(835,400)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964,600 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(835,400)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964,600 </w:t>
            </w:r>
          </w:p>
        </w:tc>
      </w:tr>
      <w:tr w:rsidR="007D7369" w:rsidRPr="004B3367" w:rsidTr="00DE734C">
        <w:trPr>
          <w:trHeight w:val="234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D7369" w:rsidRPr="004B3367" w:rsidRDefault="007D7369" w:rsidP="00881FE1">
            <w:pPr>
              <w:spacing w:before="120" w:after="0" w:line="240" w:lineRule="auto"/>
              <w:ind w:left="289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color w:val="000000"/>
                <w:lang w:val="en-US"/>
              </w:rPr>
              <w:t>Opening balance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7D7369" w:rsidRPr="004B3367" w:rsidRDefault="007D7369" w:rsidP="00881FE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(999,000)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(2,944,400)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(3,779,800)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(4,615,200)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(3,650,600)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(4,486,000)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(3,521,400)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(4,356,800)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(3,392,200)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(4,227,600)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(3,263,000)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D736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(4,098,400)</w:t>
            </w:r>
          </w:p>
        </w:tc>
      </w:tr>
      <w:tr w:rsidR="007D7369" w:rsidRPr="004B3367" w:rsidTr="00DE734C">
        <w:trPr>
          <w:trHeight w:val="332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D7369" w:rsidRPr="004B3367" w:rsidRDefault="007D7369" w:rsidP="00881FE1">
            <w:pPr>
              <w:spacing w:before="120" w:after="0" w:line="240" w:lineRule="auto"/>
              <w:ind w:left="2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Closing balance</w:t>
            </w: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D7369" w:rsidRPr="004B3367" w:rsidRDefault="007D7369" w:rsidP="00881FE1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(2,944,400)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(3,779,800)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(4,615,200)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(3,650,600)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(4,486,000)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(3,521,400)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(4,356,800)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(3,392,200)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(4,227,600)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(3,263,000)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(4,098,400)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D7369" w:rsidRPr="007D7369" w:rsidRDefault="007D7369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D736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(3,133,800)</w:t>
            </w:r>
          </w:p>
        </w:tc>
      </w:tr>
    </w:tbl>
    <w:p w:rsidR="00287E6E" w:rsidRDefault="00287E6E" w:rsidP="00287E6E">
      <w:pPr>
        <w:rPr>
          <w:rFonts w:ascii="Arial" w:hAnsi="Arial" w:cs="Arial"/>
          <w:sz w:val="24"/>
          <w:szCs w:val="24"/>
        </w:rPr>
      </w:pPr>
    </w:p>
    <w:p w:rsidR="00EF0E53" w:rsidRPr="00E80155" w:rsidRDefault="00EF0E53" w:rsidP="00287E6E">
      <w:pPr>
        <w:rPr>
          <w:rFonts w:ascii="Arial" w:hAnsi="Arial" w:cs="Arial"/>
          <w:b/>
          <w:sz w:val="24"/>
          <w:szCs w:val="24"/>
          <w:u w:val="single"/>
        </w:rPr>
      </w:pPr>
      <w:r w:rsidRPr="00E80155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Impact on 12 </w:t>
      </w:r>
      <w:r w:rsidR="00683899" w:rsidRPr="00E80155">
        <w:rPr>
          <w:rFonts w:ascii="Arial" w:hAnsi="Arial" w:cs="Arial"/>
          <w:b/>
          <w:sz w:val="24"/>
          <w:szCs w:val="24"/>
          <w:u w:val="single"/>
        </w:rPr>
        <w:t>months cash flow</w:t>
      </w:r>
      <w:r w:rsidRPr="00E80155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5751" w:type="pc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8"/>
        <w:gridCol w:w="240"/>
        <w:gridCol w:w="1259"/>
        <w:gridCol w:w="1135"/>
        <w:gridCol w:w="1110"/>
        <w:gridCol w:w="1073"/>
        <w:gridCol w:w="1073"/>
        <w:gridCol w:w="1109"/>
        <w:gridCol w:w="1034"/>
        <w:gridCol w:w="1034"/>
        <w:gridCol w:w="1003"/>
        <w:gridCol w:w="1073"/>
        <w:gridCol w:w="1037"/>
        <w:gridCol w:w="967"/>
      </w:tblGrid>
      <w:tr w:rsidR="00EF0E53" w:rsidRPr="004B3367" w:rsidTr="00F7607C">
        <w:trPr>
          <w:trHeight w:val="348"/>
        </w:trPr>
        <w:tc>
          <w:tcPr>
            <w:tcW w:w="662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ind w:left="289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9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15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Jan</w:t>
            </w:r>
          </w:p>
        </w:tc>
        <w:tc>
          <w:tcPr>
            <w:tcW w:w="374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Feb</w:t>
            </w:r>
          </w:p>
        </w:tc>
        <w:tc>
          <w:tcPr>
            <w:tcW w:w="366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Mar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Apr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May</w:t>
            </w:r>
          </w:p>
        </w:tc>
        <w:tc>
          <w:tcPr>
            <w:tcW w:w="366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June</w:t>
            </w:r>
          </w:p>
        </w:tc>
        <w:tc>
          <w:tcPr>
            <w:tcW w:w="341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July</w:t>
            </w:r>
          </w:p>
        </w:tc>
        <w:tc>
          <w:tcPr>
            <w:tcW w:w="341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Aug</w:t>
            </w:r>
          </w:p>
        </w:tc>
        <w:tc>
          <w:tcPr>
            <w:tcW w:w="331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Sep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Oct</w:t>
            </w:r>
          </w:p>
        </w:tc>
        <w:tc>
          <w:tcPr>
            <w:tcW w:w="342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Nov</w:t>
            </w:r>
          </w:p>
        </w:tc>
        <w:tc>
          <w:tcPr>
            <w:tcW w:w="319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Dec</w:t>
            </w:r>
          </w:p>
        </w:tc>
      </w:tr>
      <w:tr w:rsidR="005C0398" w:rsidRPr="004B3367" w:rsidTr="005A3894">
        <w:trPr>
          <w:trHeight w:val="348"/>
        </w:trPr>
        <w:tc>
          <w:tcPr>
            <w:tcW w:w="662" w:type="pct"/>
            <w:shd w:val="clear" w:color="auto" w:fill="auto"/>
            <w:noWrap/>
            <w:hideMark/>
          </w:tcPr>
          <w:p w:rsidR="005C0398" w:rsidRPr="004B3367" w:rsidRDefault="005C0398" w:rsidP="00F7607C">
            <w:pPr>
              <w:spacing w:before="120" w:after="0" w:line="240" w:lineRule="auto"/>
              <w:ind w:left="2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Net cash</w:t>
            </w:r>
          </w:p>
        </w:tc>
        <w:tc>
          <w:tcPr>
            <w:tcW w:w="79" w:type="pct"/>
            <w:shd w:val="clear" w:color="auto" w:fill="auto"/>
            <w:noWrap/>
            <w:hideMark/>
          </w:tcPr>
          <w:p w:rsidR="005C0398" w:rsidRPr="004B3367" w:rsidRDefault="005C0398" w:rsidP="00F7607C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(1,498,400)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(835,400)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(835,400)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964,600 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(835,400)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964,600 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(835,400)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964,600 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(835,400)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964,600 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(835,400)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964,600 </w:t>
            </w:r>
          </w:p>
        </w:tc>
      </w:tr>
      <w:tr w:rsidR="005C0398" w:rsidRPr="004B3367" w:rsidTr="005A3894">
        <w:trPr>
          <w:trHeight w:val="234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C0398" w:rsidRPr="004B3367" w:rsidRDefault="005C0398" w:rsidP="00F7607C">
            <w:pPr>
              <w:spacing w:before="120" w:after="0" w:line="240" w:lineRule="auto"/>
              <w:ind w:left="289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color w:val="000000"/>
                <w:lang w:val="en-US"/>
              </w:rPr>
              <w:t>Opening balance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C0398" w:rsidRPr="004B3367" w:rsidRDefault="005C0398" w:rsidP="00F7607C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    (999,000)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(2,497,400)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(3,332,800)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(4,168,200)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(3,203,600)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(4,039,000)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(3,074,400)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(3,909,800)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(2,945,200)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(3,780,600)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(2,816,000)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C039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(3,651,400)</w:t>
            </w:r>
          </w:p>
        </w:tc>
      </w:tr>
      <w:tr w:rsidR="005C0398" w:rsidRPr="004B3367" w:rsidTr="005A3894">
        <w:trPr>
          <w:trHeight w:val="332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C0398" w:rsidRPr="004B3367" w:rsidRDefault="005C0398" w:rsidP="00F7607C">
            <w:pPr>
              <w:spacing w:before="120" w:after="0" w:line="240" w:lineRule="auto"/>
              <w:ind w:left="2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Closing balance</w:t>
            </w: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5C0398" w:rsidRPr="004B3367" w:rsidRDefault="005C0398" w:rsidP="00F7607C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   (2,497,400)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(3,332,800)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(4,168,200)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(3,203,600)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(4,039,000)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(3,074,400)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(3,909,800)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(2,945,200)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(3,780,600)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(2,816,000)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(3,651,400)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C0398" w:rsidRPr="005C0398" w:rsidRDefault="005C0398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C0398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(2,686,800)</w:t>
            </w:r>
          </w:p>
        </w:tc>
      </w:tr>
    </w:tbl>
    <w:p w:rsidR="00287E6E" w:rsidRDefault="00287E6E" w:rsidP="00287E6E">
      <w:pPr>
        <w:rPr>
          <w:rFonts w:ascii="Arial" w:hAnsi="Arial" w:cs="Arial"/>
          <w:sz w:val="24"/>
          <w:szCs w:val="24"/>
        </w:rPr>
      </w:pPr>
    </w:p>
    <w:p w:rsidR="00287E6E" w:rsidRDefault="005C0398" w:rsidP="00287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807E3">
        <w:rPr>
          <w:rFonts w:ascii="Arial" w:hAnsi="Arial" w:cs="Arial"/>
          <w:sz w:val="24"/>
          <w:szCs w:val="24"/>
        </w:rPr>
        <w:t xml:space="preserve">verall </w:t>
      </w:r>
      <w:r w:rsidR="00FC6179">
        <w:rPr>
          <w:rFonts w:ascii="Arial" w:hAnsi="Arial" w:cs="Arial"/>
          <w:sz w:val="24"/>
          <w:szCs w:val="24"/>
        </w:rPr>
        <w:t xml:space="preserve">year end </w:t>
      </w:r>
      <w:r w:rsidR="00F807E3">
        <w:rPr>
          <w:rFonts w:ascii="Arial" w:hAnsi="Arial" w:cs="Arial"/>
          <w:sz w:val="24"/>
          <w:szCs w:val="24"/>
        </w:rPr>
        <w:t xml:space="preserve">cash </w:t>
      </w:r>
      <w:r w:rsidR="00FC6179">
        <w:rPr>
          <w:rFonts w:ascii="Arial" w:hAnsi="Arial" w:cs="Arial"/>
          <w:sz w:val="24"/>
          <w:szCs w:val="24"/>
        </w:rPr>
        <w:t>deficit</w:t>
      </w:r>
      <w:r>
        <w:rPr>
          <w:rFonts w:ascii="Arial" w:hAnsi="Arial" w:cs="Arial"/>
          <w:sz w:val="24"/>
          <w:szCs w:val="24"/>
        </w:rPr>
        <w:t xml:space="preserve"> will</w:t>
      </w:r>
      <w:r w:rsidR="00F807E3">
        <w:rPr>
          <w:rFonts w:ascii="Arial" w:hAnsi="Arial" w:cs="Arial"/>
          <w:sz w:val="24"/>
          <w:szCs w:val="24"/>
        </w:rPr>
        <w:t xml:space="preserve"> </w:t>
      </w:r>
      <w:r w:rsidR="00B5699C">
        <w:rPr>
          <w:rFonts w:ascii="Arial" w:hAnsi="Arial" w:cs="Arial"/>
          <w:sz w:val="24"/>
          <w:szCs w:val="24"/>
        </w:rPr>
        <w:t xml:space="preserve">reduce by </w:t>
      </w:r>
      <w:proofErr w:type="spellStart"/>
      <w:r w:rsidR="00B5699C">
        <w:rPr>
          <w:rFonts w:ascii="Arial" w:hAnsi="Arial" w:cs="Arial"/>
          <w:sz w:val="24"/>
          <w:szCs w:val="24"/>
        </w:rPr>
        <w:t>shs</w:t>
      </w:r>
      <w:proofErr w:type="spellEnd"/>
      <w:r w:rsidR="00B5699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447</w:t>
      </w:r>
      <w:r w:rsidR="00B5699C">
        <w:rPr>
          <w:rFonts w:ascii="Arial" w:hAnsi="Arial" w:cs="Arial"/>
          <w:sz w:val="24"/>
          <w:szCs w:val="24"/>
        </w:rPr>
        <w:t xml:space="preserve"> million. </w:t>
      </w:r>
      <w:r w:rsidR="000D1FF0">
        <w:rPr>
          <w:rFonts w:ascii="Arial" w:hAnsi="Arial" w:cs="Arial"/>
          <w:sz w:val="24"/>
          <w:szCs w:val="24"/>
        </w:rPr>
        <w:t>Maximum c</w:t>
      </w:r>
      <w:r w:rsidR="007D7369">
        <w:rPr>
          <w:rFonts w:ascii="Arial" w:hAnsi="Arial" w:cs="Arial"/>
          <w:sz w:val="24"/>
          <w:szCs w:val="24"/>
        </w:rPr>
        <w:t xml:space="preserve">ash shortage has reduced from </w:t>
      </w:r>
      <w:proofErr w:type="spellStart"/>
      <w:r w:rsidR="00FD2AE3">
        <w:rPr>
          <w:rFonts w:ascii="Arial" w:hAnsi="Arial" w:cs="Arial"/>
          <w:sz w:val="24"/>
          <w:szCs w:val="24"/>
        </w:rPr>
        <w:t>shs</w:t>
      </w:r>
      <w:proofErr w:type="spellEnd"/>
      <w:r w:rsidR="00FD2AE3">
        <w:rPr>
          <w:rFonts w:ascii="Arial" w:hAnsi="Arial" w:cs="Arial"/>
          <w:sz w:val="24"/>
          <w:szCs w:val="24"/>
        </w:rPr>
        <w:t xml:space="preserve"> </w:t>
      </w:r>
      <w:r w:rsidR="007D7369">
        <w:rPr>
          <w:rFonts w:ascii="Arial" w:hAnsi="Arial" w:cs="Arial"/>
          <w:sz w:val="24"/>
          <w:szCs w:val="24"/>
        </w:rPr>
        <w:t xml:space="preserve">4.6 </w:t>
      </w:r>
      <w:r w:rsidR="00F807E3">
        <w:rPr>
          <w:rFonts w:ascii="Arial" w:hAnsi="Arial" w:cs="Arial"/>
          <w:sz w:val="24"/>
          <w:szCs w:val="24"/>
        </w:rPr>
        <w:t>bil</w:t>
      </w:r>
      <w:r w:rsidR="00FD2AE3">
        <w:rPr>
          <w:rFonts w:ascii="Arial" w:hAnsi="Arial" w:cs="Arial"/>
          <w:sz w:val="24"/>
          <w:szCs w:val="24"/>
        </w:rPr>
        <w:t>l</w:t>
      </w:r>
      <w:r w:rsidR="00F807E3">
        <w:rPr>
          <w:rFonts w:ascii="Arial" w:hAnsi="Arial" w:cs="Arial"/>
          <w:sz w:val="24"/>
          <w:szCs w:val="24"/>
        </w:rPr>
        <w:t>ion</w:t>
      </w:r>
      <w:r w:rsidR="007D7369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7D7369">
        <w:rPr>
          <w:rFonts w:ascii="Arial" w:hAnsi="Arial" w:cs="Arial"/>
          <w:sz w:val="24"/>
          <w:szCs w:val="24"/>
        </w:rPr>
        <w:t>shs</w:t>
      </w:r>
      <w:proofErr w:type="spellEnd"/>
      <w:r w:rsidR="007D73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4.1</w:t>
      </w:r>
      <w:r w:rsidR="007D7369">
        <w:rPr>
          <w:rFonts w:ascii="Arial" w:hAnsi="Arial" w:cs="Arial"/>
          <w:sz w:val="24"/>
          <w:szCs w:val="24"/>
        </w:rPr>
        <w:t xml:space="preserve"> billion.</w:t>
      </w:r>
    </w:p>
    <w:p w:rsidR="00287E6E" w:rsidRDefault="00287E6E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287E6E" w:rsidRPr="00C3575B" w:rsidRDefault="00287E6E" w:rsidP="00287E6E">
      <w:pPr>
        <w:rPr>
          <w:rFonts w:ascii="Arial" w:hAnsi="Arial" w:cs="Arial"/>
          <w:b/>
          <w:sz w:val="24"/>
          <w:szCs w:val="24"/>
          <w:u w:val="single"/>
        </w:rPr>
      </w:pPr>
      <w:r w:rsidRPr="00C3575B">
        <w:rPr>
          <w:rFonts w:ascii="Arial" w:hAnsi="Arial" w:cs="Arial"/>
          <w:b/>
          <w:sz w:val="24"/>
          <w:szCs w:val="24"/>
          <w:u w:val="single"/>
        </w:rPr>
        <w:t>Projected Income (5 years):</w:t>
      </w:r>
    </w:p>
    <w:tbl>
      <w:tblPr>
        <w:tblStyle w:val="LightShading-Accent5"/>
        <w:tblW w:w="4208" w:type="pct"/>
        <w:tblLook w:val="04A0"/>
      </w:tblPr>
      <w:tblGrid>
        <w:gridCol w:w="2626"/>
        <w:gridCol w:w="1762"/>
        <w:gridCol w:w="1520"/>
        <w:gridCol w:w="1341"/>
        <w:gridCol w:w="1223"/>
        <w:gridCol w:w="1185"/>
        <w:gridCol w:w="1432"/>
      </w:tblGrid>
      <w:tr w:rsidR="00287E6E" w:rsidRPr="00E94110" w:rsidTr="00F7607C">
        <w:trPr>
          <w:cnfStyle w:val="100000000000"/>
          <w:trHeight w:val="300"/>
        </w:trPr>
        <w:tc>
          <w:tcPr>
            <w:cnfStyle w:val="001000000000"/>
            <w:tcW w:w="1157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Year</w:t>
            </w:r>
          </w:p>
        </w:tc>
        <w:tc>
          <w:tcPr>
            <w:tcW w:w="799" w:type="pct"/>
            <w:tcBorders>
              <w:top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One</w:t>
            </w:r>
          </w:p>
        </w:tc>
        <w:tc>
          <w:tcPr>
            <w:tcW w:w="690" w:type="pct"/>
            <w:tcBorders>
              <w:top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Two</w:t>
            </w:r>
          </w:p>
        </w:tc>
        <w:tc>
          <w:tcPr>
            <w:tcW w:w="609" w:type="pct"/>
            <w:tcBorders>
              <w:top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Three</w:t>
            </w:r>
          </w:p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Four</w:t>
            </w:r>
          </w:p>
        </w:tc>
        <w:tc>
          <w:tcPr>
            <w:tcW w:w="539" w:type="pct"/>
            <w:tcBorders>
              <w:top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Five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Total</w:t>
            </w:r>
          </w:p>
        </w:tc>
      </w:tr>
      <w:tr w:rsidR="00287E6E" w:rsidRPr="00E94110" w:rsidTr="00F7607C">
        <w:trPr>
          <w:cnfStyle w:val="000000100000"/>
          <w:trHeight w:val="300"/>
        </w:trPr>
        <w:tc>
          <w:tcPr>
            <w:cnfStyle w:val="001000000000"/>
            <w:tcW w:w="1157" w:type="pct"/>
            <w:tcBorders>
              <w:lef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lang w:val="en-US"/>
              </w:rPr>
            </w:pPr>
            <w:r w:rsidRPr="00E94110">
              <w:rPr>
                <w:lang w:val="en-US"/>
              </w:rPr>
              <w:t>Total cost</w:t>
            </w:r>
          </w:p>
        </w:tc>
        <w:tc>
          <w:tcPr>
            <w:tcW w:w="799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9,891,300</w:t>
            </w:r>
          </w:p>
        </w:tc>
        <w:tc>
          <w:tcPr>
            <w:tcW w:w="690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9,852,900</w:t>
            </w:r>
          </w:p>
        </w:tc>
        <w:tc>
          <w:tcPr>
            <w:tcW w:w="609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9,814,500</w:t>
            </w:r>
          </w:p>
        </w:tc>
        <w:tc>
          <w:tcPr>
            <w:tcW w:w="556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9,747,900</w:t>
            </w:r>
          </w:p>
        </w:tc>
        <w:tc>
          <w:tcPr>
            <w:tcW w:w="539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9,730,500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49,037,100</w:t>
            </w:r>
          </w:p>
        </w:tc>
      </w:tr>
      <w:tr w:rsidR="00287E6E" w:rsidRPr="00E94110" w:rsidTr="00F7607C">
        <w:trPr>
          <w:trHeight w:val="300"/>
        </w:trPr>
        <w:tc>
          <w:tcPr>
            <w:cnfStyle w:val="001000000000"/>
            <w:tcW w:w="1157" w:type="pct"/>
            <w:tcBorders>
              <w:lef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lang w:val="en-US"/>
              </w:rPr>
            </w:pPr>
            <w:r w:rsidRPr="00E94110">
              <w:rPr>
                <w:lang w:val="en-US"/>
              </w:rPr>
              <w:t>Net profit</w:t>
            </w:r>
          </w:p>
        </w:tc>
        <w:tc>
          <w:tcPr>
            <w:tcW w:w="799" w:type="pct"/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908,700</w:t>
            </w:r>
          </w:p>
        </w:tc>
        <w:tc>
          <w:tcPr>
            <w:tcW w:w="690" w:type="pct"/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947,100</w:t>
            </w:r>
          </w:p>
        </w:tc>
        <w:tc>
          <w:tcPr>
            <w:tcW w:w="609" w:type="pct"/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985,500</w:t>
            </w:r>
          </w:p>
        </w:tc>
        <w:tc>
          <w:tcPr>
            <w:tcW w:w="556" w:type="pct"/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1,052,100</w:t>
            </w:r>
          </w:p>
        </w:tc>
        <w:tc>
          <w:tcPr>
            <w:tcW w:w="539" w:type="pct"/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1,069,500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4,962,900</w:t>
            </w:r>
          </w:p>
        </w:tc>
      </w:tr>
      <w:tr w:rsidR="00287E6E" w:rsidRPr="00E94110" w:rsidTr="00F7607C">
        <w:trPr>
          <w:cnfStyle w:val="000000100000"/>
          <w:trHeight w:val="300"/>
        </w:trPr>
        <w:tc>
          <w:tcPr>
            <w:cnfStyle w:val="001000000000"/>
            <w:tcW w:w="1157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lang w:val="en-US"/>
              </w:rPr>
            </w:pPr>
            <w:r w:rsidRPr="00E94110">
              <w:rPr>
                <w:lang w:val="en-US"/>
              </w:rPr>
              <w:t>Provision for taxation 30%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272,610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284,130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295,650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315,630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320,850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1,488,870</w:t>
            </w:r>
          </w:p>
        </w:tc>
      </w:tr>
      <w:tr w:rsidR="00287E6E" w:rsidRPr="00E94110" w:rsidTr="00F7607C">
        <w:trPr>
          <w:trHeight w:val="300"/>
        </w:trPr>
        <w:tc>
          <w:tcPr>
            <w:cnfStyle w:val="001000000000"/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lang w:val="en-US"/>
              </w:rPr>
            </w:pPr>
            <w:r w:rsidRPr="00E94110">
              <w:rPr>
                <w:lang w:val="en-US"/>
              </w:rPr>
              <w:t>Profit after Taxation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636,090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662,970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689,850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736,470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748,650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3,474,030</w:t>
            </w:r>
          </w:p>
        </w:tc>
      </w:tr>
    </w:tbl>
    <w:p w:rsidR="00E80155" w:rsidRDefault="00E80155" w:rsidP="00287E6E">
      <w:pPr>
        <w:rPr>
          <w:rFonts w:ascii="Arial" w:hAnsi="Arial" w:cs="Arial"/>
          <w:sz w:val="24"/>
          <w:szCs w:val="24"/>
          <w:u w:val="single"/>
        </w:rPr>
      </w:pPr>
    </w:p>
    <w:p w:rsidR="00287E6E" w:rsidRPr="00E80155" w:rsidRDefault="00E80155" w:rsidP="00287E6E">
      <w:pPr>
        <w:rPr>
          <w:rFonts w:ascii="Arial" w:hAnsi="Arial" w:cs="Arial"/>
          <w:b/>
          <w:sz w:val="24"/>
          <w:szCs w:val="24"/>
          <w:u w:val="single"/>
        </w:rPr>
      </w:pPr>
      <w:r w:rsidRPr="00E80155">
        <w:rPr>
          <w:rFonts w:ascii="Arial" w:hAnsi="Arial" w:cs="Arial"/>
          <w:b/>
          <w:sz w:val="24"/>
          <w:szCs w:val="24"/>
          <w:u w:val="single"/>
        </w:rPr>
        <w:t>Impact on 5 years income:</w:t>
      </w:r>
    </w:p>
    <w:p w:rsidR="006D67C9" w:rsidRPr="006D67C9" w:rsidRDefault="005C0398" w:rsidP="00287E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There will be no impact on income.</w:t>
      </w:r>
    </w:p>
    <w:p w:rsidR="007D7369" w:rsidRDefault="007D7369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7D7369" w:rsidRDefault="007D7369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7D7369" w:rsidRDefault="007D7369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287E6E" w:rsidRPr="00C3575B" w:rsidRDefault="00287E6E" w:rsidP="00287E6E">
      <w:pPr>
        <w:rPr>
          <w:rFonts w:ascii="Arial" w:hAnsi="Arial" w:cs="Arial"/>
          <w:b/>
          <w:sz w:val="24"/>
          <w:szCs w:val="24"/>
          <w:u w:val="single"/>
        </w:rPr>
      </w:pPr>
      <w:r w:rsidRPr="00C3575B">
        <w:rPr>
          <w:rFonts w:ascii="Arial" w:hAnsi="Arial" w:cs="Arial"/>
          <w:b/>
          <w:sz w:val="24"/>
          <w:szCs w:val="24"/>
          <w:u w:val="single"/>
        </w:rPr>
        <w:t>Projected cash flow (5years):</w:t>
      </w:r>
    </w:p>
    <w:tbl>
      <w:tblPr>
        <w:tblStyle w:val="LightShading-Accent5"/>
        <w:tblW w:w="4208" w:type="pct"/>
        <w:tblLayout w:type="fixed"/>
        <w:tblLook w:val="04A0"/>
      </w:tblPr>
      <w:tblGrid>
        <w:gridCol w:w="2589"/>
        <w:gridCol w:w="1748"/>
        <w:gridCol w:w="1530"/>
        <w:gridCol w:w="1351"/>
        <w:gridCol w:w="1260"/>
        <w:gridCol w:w="1260"/>
        <w:gridCol w:w="1351"/>
      </w:tblGrid>
      <w:tr w:rsidR="00287E6E" w:rsidRPr="00BC4AD2" w:rsidTr="00881FE1">
        <w:trPr>
          <w:cnfStyle w:val="100000000000"/>
          <w:trHeight w:val="300"/>
        </w:trPr>
        <w:tc>
          <w:tcPr>
            <w:cnfStyle w:val="001000000000"/>
            <w:tcW w:w="1167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rPr>
                <w:rFonts w:ascii="Calibri" w:eastAsia="Times New Roman" w:hAnsi="Calibri" w:cs="Calibri"/>
                <w:b w:val="0"/>
                <w:bCs w:val="0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val="en-US"/>
              </w:rPr>
              <w:t>Year</w:t>
            </w:r>
          </w:p>
        </w:tc>
        <w:tc>
          <w:tcPr>
            <w:tcW w:w="788" w:type="pct"/>
            <w:tcBorders>
              <w:top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One</w:t>
            </w:r>
          </w:p>
        </w:tc>
        <w:tc>
          <w:tcPr>
            <w:tcW w:w="690" w:type="pct"/>
            <w:tcBorders>
              <w:top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Two</w:t>
            </w:r>
          </w:p>
        </w:tc>
        <w:tc>
          <w:tcPr>
            <w:tcW w:w="609" w:type="pct"/>
            <w:tcBorders>
              <w:top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Three</w:t>
            </w:r>
          </w:p>
        </w:tc>
        <w:tc>
          <w:tcPr>
            <w:tcW w:w="568" w:type="pct"/>
            <w:tcBorders>
              <w:top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Four</w:t>
            </w:r>
          </w:p>
        </w:tc>
        <w:tc>
          <w:tcPr>
            <w:tcW w:w="568" w:type="pct"/>
            <w:tcBorders>
              <w:top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Five</w:t>
            </w:r>
          </w:p>
        </w:tc>
        <w:tc>
          <w:tcPr>
            <w:tcW w:w="609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Net cash from Ops</w:t>
            </w:r>
          </w:p>
        </w:tc>
      </w:tr>
      <w:tr w:rsidR="00881FE1" w:rsidRPr="00BC4AD2" w:rsidTr="00F807E3">
        <w:trPr>
          <w:cnfStyle w:val="000000100000"/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</w:tcBorders>
            <w:noWrap/>
            <w:hideMark/>
          </w:tcPr>
          <w:p w:rsidR="00881FE1" w:rsidRPr="00BC4AD2" w:rsidRDefault="00881FE1" w:rsidP="00881FE1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Net cash </w:t>
            </w:r>
          </w:p>
        </w:tc>
        <w:tc>
          <w:tcPr>
            <w:tcW w:w="78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(2,134,800)</w:t>
            </w:r>
          </w:p>
        </w:tc>
        <w:tc>
          <w:tcPr>
            <w:tcW w:w="690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540,990 </w:t>
            </w:r>
          </w:p>
        </w:tc>
        <w:tc>
          <w:tcPr>
            <w:tcW w:w="609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567,870 </w:t>
            </w:r>
          </w:p>
        </w:tc>
        <w:tc>
          <w:tcPr>
            <w:tcW w:w="56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610,950 </w:t>
            </w:r>
          </w:p>
        </w:tc>
        <w:tc>
          <w:tcPr>
            <w:tcW w:w="56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782,370 </w:t>
            </w:r>
          </w:p>
        </w:tc>
        <w:tc>
          <w:tcPr>
            <w:tcW w:w="609" w:type="pct"/>
            <w:tcBorders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81FE1" w:rsidRDefault="00881FE1" w:rsidP="00EF0E53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367,380 </w:t>
            </w:r>
          </w:p>
        </w:tc>
      </w:tr>
      <w:tr w:rsidR="00881FE1" w:rsidRPr="00BC4AD2" w:rsidTr="00881FE1">
        <w:trPr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</w:tcBorders>
            <w:noWrap/>
            <w:hideMark/>
          </w:tcPr>
          <w:p w:rsidR="00881FE1" w:rsidRPr="00BC4AD2" w:rsidRDefault="00881FE1" w:rsidP="00881FE1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Opening balance</w:t>
            </w:r>
          </w:p>
        </w:tc>
        <w:tc>
          <w:tcPr>
            <w:tcW w:w="78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(999,000)</w:t>
            </w:r>
          </w:p>
        </w:tc>
        <w:tc>
          <w:tcPr>
            <w:tcW w:w="690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(3,133,800)</w:t>
            </w:r>
          </w:p>
        </w:tc>
        <w:tc>
          <w:tcPr>
            <w:tcW w:w="609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(2,592,810)</w:t>
            </w:r>
          </w:p>
        </w:tc>
        <w:tc>
          <w:tcPr>
            <w:tcW w:w="56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(2,024,940)</w:t>
            </w:r>
          </w:p>
        </w:tc>
        <w:tc>
          <w:tcPr>
            <w:tcW w:w="56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1,413,990)</w:t>
            </w:r>
          </w:p>
        </w:tc>
        <w:tc>
          <w:tcPr>
            <w:tcW w:w="609" w:type="pct"/>
            <w:tcBorders>
              <w:right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(999,000)</w:t>
            </w:r>
          </w:p>
        </w:tc>
      </w:tr>
      <w:tr w:rsidR="00881FE1" w:rsidRPr="00BC4AD2" w:rsidTr="00881FE1">
        <w:trPr>
          <w:cnfStyle w:val="000000100000"/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881FE1" w:rsidRPr="00BC4AD2" w:rsidRDefault="00881FE1" w:rsidP="00881FE1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Closing balance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(3,133,800)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(2,592,810)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(2,024,940)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(1,413,990)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(631,620)</w:t>
            </w:r>
          </w:p>
        </w:tc>
        <w:tc>
          <w:tcPr>
            <w:tcW w:w="609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(631,620)</w:t>
            </w:r>
          </w:p>
        </w:tc>
      </w:tr>
    </w:tbl>
    <w:p w:rsidR="00287E6E" w:rsidRDefault="00287E6E" w:rsidP="00287E6E">
      <w:pPr>
        <w:rPr>
          <w:rFonts w:ascii="Arial" w:hAnsi="Arial" w:cs="Arial"/>
          <w:sz w:val="24"/>
          <w:szCs w:val="24"/>
        </w:rPr>
      </w:pPr>
    </w:p>
    <w:p w:rsidR="00E80155" w:rsidRDefault="00E80155" w:rsidP="00287E6E">
      <w:pPr>
        <w:rPr>
          <w:rFonts w:ascii="Arial" w:hAnsi="Arial" w:cs="Arial"/>
          <w:sz w:val="24"/>
          <w:szCs w:val="24"/>
        </w:rPr>
      </w:pPr>
    </w:p>
    <w:p w:rsidR="00E80155" w:rsidRPr="00C3575B" w:rsidRDefault="00E80155" w:rsidP="00E8015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Impact on 5 years </w:t>
      </w:r>
      <w:r w:rsidRPr="00C3575B">
        <w:rPr>
          <w:rFonts w:ascii="Arial" w:hAnsi="Arial" w:cs="Arial"/>
          <w:b/>
          <w:sz w:val="24"/>
          <w:szCs w:val="24"/>
          <w:u w:val="single"/>
        </w:rPr>
        <w:t>cash flow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C3575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LightShading-Accent5"/>
        <w:tblW w:w="4208" w:type="pct"/>
        <w:tblLayout w:type="fixed"/>
        <w:tblLook w:val="04A0"/>
      </w:tblPr>
      <w:tblGrid>
        <w:gridCol w:w="2589"/>
        <w:gridCol w:w="1748"/>
        <w:gridCol w:w="1530"/>
        <w:gridCol w:w="1351"/>
        <w:gridCol w:w="1260"/>
        <w:gridCol w:w="1260"/>
        <w:gridCol w:w="1351"/>
      </w:tblGrid>
      <w:tr w:rsidR="00E80155" w:rsidRPr="00BC4AD2" w:rsidTr="00F7607C">
        <w:trPr>
          <w:cnfStyle w:val="100000000000"/>
          <w:trHeight w:val="300"/>
        </w:trPr>
        <w:tc>
          <w:tcPr>
            <w:cnfStyle w:val="001000000000"/>
            <w:tcW w:w="1167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rPr>
                <w:rFonts w:ascii="Calibri" w:eastAsia="Times New Roman" w:hAnsi="Calibri" w:cs="Calibri"/>
                <w:b w:val="0"/>
                <w:bCs w:val="0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val="en-US"/>
              </w:rPr>
              <w:t>Year</w:t>
            </w:r>
          </w:p>
        </w:tc>
        <w:tc>
          <w:tcPr>
            <w:tcW w:w="788" w:type="pct"/>
            <w:tcBorders>
              <w:top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One</w:t>
            </w:r>
          </w:p>
        </w:tc>
        <w:tc>
          <w:tcPr>
            <w:tcW w:w="690" w:type="pct"/>
            <w:tcBorders>
              <w:top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Two</w:t>
            </w:r>
          </w:p>
        </w:tc>
        <w:tc>
          <w:tcPr>
            <w:tcW w:w="609" w:type="pct"/>
            <w:tcBorders>
              <w:top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Three</w:t>
            </w:r>
          </w:p>
        </w:tc>
        <w:tc>
          <w:tcPr>
            <w:tcW w:w="568" w:type="pct"/>
            <w:tcBorders>
              <w:top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Four</w:t>
            </w:r>
          </w:p>
        </w:tc>
        <w:tc>
          <w:tcPr>
            <w:tcW w:w="568" w:type="pct"/>
            <w:tcBorders>
              <w:top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Five</w:t>
            </w:r>
          </w:p>
        </w:tc>
        <w:tc>
          <w:tcPr>
            <w:tcW w:w="609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Net cash from Ops</w:t>
            </w:r>
          </w:p>
        </w:tc>
      </w:tr>
      <w:tr w:rsidR="00875203" w:rsidRPr="00BC4AD2" w:rsidTr="00F807E3">
        <w:trPr>
          <w:cnfStyle w:val="000000100000"/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</w:tcBorders>
            <w:noWrap/>
            <w:hideMark/>
          </w:tcPr>
          <w:p w:rsidR="00875203" w:rsidRPr="00BC4AD2" w:rsidRDefault="00875203" w:rsidP="00F7607C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Net cash </w:t>
            </w:r>
          </w:p>
        </w:tc>
        <w:tc>
          <w:tcPr>
            <w:tcW w:w="788" w:type="pct"/>
            <w:noWrap/>
            <w:vAlign w:val="bottom"/>
            <w:hideMark/>
          </w:tcPr>
          <w:p w:rsidR="00875203" w:rsidRDefault="00875203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(1,687,800)</w:t>
            </w:r>
          </w:p>
        </w:tc>
        <w:tc>
          <w:tcPr>
            <w:tcW w:w="690" w:type="pct"/>
            <w:noWrap/>
            <w:vAlign w:val="bottom"/>
            <w:hideMark/>
          </w:tcPr>
          <w:p w:rsidR="00875203" w:rsidRDefault="00875203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540,990 </w:t>
            </w:r>
          </w:p>
        </w:tc>
        <w:tc>
          <w:tcPr>
            <w:tcW w:w="609" w:type="pct"/>
            <w:noWrap/>
            <w:vAlign w:val="bottom"/>
            <w:hideMark/>
          </w:tcPr>
          <w:p w:rsidR="00875203" w:rsidRDefault="00875203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567,870 </w:t>
            </w:r>
          </w:p>
        </w:tc>
        <w:tc>
          <w:tcPr>
            <w:tcW w:w="568" w:type="pct"/>
            <w:noWrap/>
            <w:vAlign w:val="bottom"/>
            <w:hideMark/>
          </w:tcPr>
          <w:p w:rsidR="00875203" w:rsidRDefault="00875203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610,950 </w:t>
            </w:r>
          </w:p>
        </w:tc>
        <w:tc>
          <w:tcPr>
            <w:tcW w:w="568" w:type="pct"/>
            <w:noWrap/>
            <w:vAlign w:val="bottom"/>
            <w:hideMark/>
          </w:tcPr>
          <w:p w:rsidR="00875203" w:rsidRDefault="00875203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782,370 </w:t>
            </w:r>
          </w:p>
        </w:tc>
        <w:tc>
          <w:tcPr>
            <w:tcW w:w="609" w:type="pct"/>
            <w:tcBorders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75203" w:rsidRDefault="00875203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814,380 </w:t>
            </w:r>
          </w:p>
        </w:tc>
      </w:tr>
      <w:tr w:rsidR="00875203" w:rsidRPr="00BC4AD2" w:rsidTr="00F7607C">
        <w:trPr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</w:tcBorders>
            <w:noWrap/>
            <w:hideMark/>
          </w:tcPr>
          <w:p w:rsidR="00875203" w:rsidRPr="00BC4AD2" w:rsidRDefault="00875203" w:rsidP="00F7607C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Opening balance</w:t>
            </w:r>
          </w:p>
        </w:tc>
        <w:tc>
          <w:tcPr>
            <w:tcW w:w="788" w:type="pct"/>
            <w:noWrap/>
            <w:vAlign w:val="bottom"/>
            <w:hideMark/>
          </w:tcPr>
          <w:p w:rsidR="00875203" w:rsidRDefault="00875203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(999,000)</w:t>
            </w:r>
          </w:p>
        </w:tc>
        <w:tc>
          <w:tcPr>
            <w:tcW w:w="690" w:type="pct"/>
            <w:noWrap/>
            <w:vAlign w:val="bottom"/>
            <w:hideMark/>
          </w:tcPr>
          <w:p w:rsidR="00875203" w:rsidRDefault="00875203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(2,686,800)</w:t>
            </w:r>
          </w:p>
        </w:tc>
        <w:tc>
          <w:tcPr>
            <w:tcW w:w="609" w:type="pct"/>
            <w:noWrap/>
            <w:vAlign w:val="bottom"/>
            <w:hideMark/>
          </w:tcPr>
          <w:p w:rsidR="00875203" w:rsidRDefault="00875203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(2,145,810)</w:t>
            </w:r>
          </w:p>
        </w:tc>
        <w:tc>
          <w:tcPr>
            <w:tcW w:w="568" w:type="pct"/>
            <w:noWrap/>
            <w:vAlign w:val="bottom"/>
            <w:hideMark/>
          </w:tcPr>
          <w:p w:rsidR="00875203" w:rsidRDefault="00875203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(1,577,940)</w:t>
            </w:r>
          </w:p>
        </w:tc>
        <w:tc>
          <w:tcPr>
            <w:tcW w:w="568" w:type="pct"/>
            <w:noWrap/>
            <w:vAlign w:val="bottom"/>
            <w:hideMark/>
          </w:tcPr>
          <w:p w:rsidR="00875203" w:rsidRDefault="00875203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(966,990)</w:t>
            </w:r>
          </w:p>
        </w:tc>
        <w:tc>
          <w:tcPr>
            <w:tcW w:w="609" w:type="pct"/>
            <w:tcBorders>
              <w:right w:val="single" w:sz="4" w:space="0" w:color="auto"/>
            </w:tcBorders>
            <w:noWrap/>
            <w:vAlign w:val="bottom"/>
            <w:hideMark/>
          </w:tcPr>
          <w:p w:rsidR="00875203" w:rsidRDefault="00875203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(999,000)</w:t>
            </w:r>
          </w:p>
        </w:tc>
      </w:tr>
      <w:tr w:rsidR="00875203" w:rsidRPr="00BC4AD2" w:rsidTr="00F7607C">
        <w:trPr>
          <w:cnfStyle w:val="000000100000"/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875203" w:rsidRPr="00BC4AD2" w:rsidRDefault="00875203" w:rsidP="00F7607C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Closing balance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75203" w:rsidRDefault="00875203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(2,686,800)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75203" w:rsidRDefault="00875203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(2,145,810)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75203" w:rsidRDefault="00875203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(1,577,940)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75203" w:rsidRDefault="00875203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(966,990)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75203" w:rsidRDefault="00875203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(184,620)</w:t>
            </w:r>
          </w:p>
        </w:tc>
        <w:tc>
          <w:tcPr>
            <w:tcW w:w="609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5203" w:rsidRDefault="00875203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(184,620)</w:t>
            </w:r>
          </w:p>
        </w:tc>
      </w:tr>
    </w:tbl>
    <w:p w:rsidR="00E80155" w:rsidRDefault="00E80155" w:rsidP="00287E6E">
      <w:pPr>
        <w:rPr>
          <w:rFonts w:ascii="Arial" w:hAnsi="Arial" w:cs="Arial"/>
          <w:sz w:val="24"/>
          <w:szCs w:val="24"/>
        </w:rPr>
      </w:pPr>
    </w:p>
    <w:p w:rsidR="00E80155" w:rsidRDefault="00F807E3" w:rsidP="00287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Net cash generated from the business over the five years has improved from </w:t>
      </w:r>
      <w:proofErr w:type="spellStart"/>
      <w:r>
        <w:rPr>
          <w:rFonts w:ascii="Arial" w:hAnsi="Arial" w:cs="Arial"/>
          <w:sz w:val="24"/>
          <w:szCs w:val="24"/>
        </w:rPr>
        <w:t>shs</w:t>
      </w:r>
      <w:proofErr w:type="spellEnd"/>
      <w:r>
        <w:rPr>
          <w:rFonts w:ascii="Arial" w:hAnsi="Arial" w:cs="Arial"/>
          <w:sz w:val="24"/>
          <w:szCs w:val="24"/>
        </w:rPr>
        <w:t xml:space="preserve"> 367.38 million to </w:t>
      </w:r>
      <w:proofErr w:type="spellStart"/>
      <w:r w:rsidR="007D7369">
        <w:rPr>
          <w:rFonts w:ascii="Arial" w:hAnsi="Arial" w:cs="Arial"/>
          <w:sz w:val="24"/>
          <w:szCs w:val="24"/>
        </w:rPr>
        <w:t>shs</w:t>
      </w:r>
      <w:proofErr w:type="spellEnd"/>
      <w:r w:rsidR="007D7369">
        <w:rPr>
          <w:rFonts w:ascii="Arial" w:hAnsi="Arial" w:cs="Arial"/>
          <w:sz w:val="24"/>
          <w:szCs w:val="24"/>
        </w:rPr>
        <w:t xml:space="preserve"> </w:t>
      </w:r>
      <w:r w:rsidR="00875203">
        <w:rPr>
          <w:rFonts w:ascii="Arial" w:hAnsi="Arial" w:cs="Arial"/>
          <w:sz w:val="24"/>
          <w:szCs w:val="24"/>
        </w:rPr>
        <w:t>814.38</w:t>
      </w:r>
      <w:r>
        <w:rPr>
          <w:rFonts w:ascii="Arial" w:hAnsi="Arial" w:cs="Arial"/>
          <w:sz w:val="24"/>
          <w:szCs w:val="24"/>
        </w:rPr>
        <w:t xml:space="preserve"> million</w:t>
      </w:r>
      <w:r w:rsidR="00045C98">
        <w:rPr>
          <w:rFonts w:ascii="Arial" w:hAnsi="Arial" w:cs="Arial"/>
          <w:sz w:val="24"/>
          <w:szCs w:val="24"/>
        </w:rPr>
        <w:t xml:space="preserve"> while the cash deficit at the end of five years has </w:t>
      </w:r>
      <w:r w:rsidR="00875203">
        <w:rPr>
          <w:rFonts w:ascii="Arial" w:hAnsi="Arial" w:cs="Arial"/>
          <w:sz w:val="24"/>
          <w:szCs w:val="24"/>
        </w:rPr>
        <w:t>reduced</w:t>
      </w:r>
      <w:r w:rsidR="00045C98">
        <w:rPr>
          <w:rFonts w:ascii="Arial" w:hAnsi="Arial" w:cs="Arial"/>
          <w:sz w:val="24"/>
          <w:szCs w:val="24"/>
        </w:rPr>
        <w:t xml:space="preserve"> to </w:t>
      </w:r>
      <w:r w:rsidR="00875203">
        <w:rPr>
          <w:rFonts w:ascii="Arial" w:hAnsi="Arial" w:cs="Arial"/>
          <w:sz w:val="24"/>
          <w:szCs w:val="24"/>
        </w:rPr>
        <w:t>only</w:t>
      </w:r>
      <w:r w:rsidR="00045C98">
        <w:rPr>
          <w:rFonts w:ascii="Arial" w:hAnsi="Arial" w:cs="Arial"/>
          <w:sz w:val="24"/>
          <w:szCs w:val="24"/>
        </w:rPr>
        <w:t xml:space="preserve"> of </w:t>
      </w:r>
      <w:proofErr w:type="spellStart"/>
      <w:r w:rsidR="00045C98">
        <w:rPr>
          <w:rFonts w:ascii="Arial" w:hAnsi="Arial" w:cs="Arial"/>
          <w:sz w:val="24"/>
          <w:szCs w:val="24"/>
        </w:rPr>
        <w:t>shs</w:t>
      </w:r>
      <w:proofErr w:type="spellEnd"/>
      <w:r w:rsidR="00045C98">
        <w:rPr>
          <w:rFonts w:ascii="Arial" w:hAnsi="Arial" w:cs="Arial"/>
          <w:sz w:val="24"/>
          <w:szCs w:val="24"/>
        </w:rPr>
        <w:t xml:space="preserve"> </w:t>
      </w:r>
      <w:r w:rsidR="00875203">
        <w:rPr>
          <w:rFonts w:ascii="Arial" w:hAnsi="Arial" w:cs="Arial"/>
          <w:sz w:val="24"/>
          <w:szCs w:val="24"/>
        </w:rPr>
        <w:t>184.62</w:t>
      </w:r>
      <w:r w:rsidR="00045C98">
        <w:rPr>
          <w:rFonts w:ascii="Arial" w:hAnsi="Arial" w:cs="Arial"/>
          <w:sz w:val="24"/>
          <w:szCs w:val="24"/>
        </w:rPr>
        <w:t xml:space="preserve"> billion</w:t>
      </w:r>
      <w:r>
        <w:rPr>
          <w:rFonts w:ascii="Arial" w:hAnsi="Arial" w:cs="Arial"/>
          <w:sz w:val="24"/>
          <w:szCs w:val="24"/>
        </w:rPr>
        <w:t>.</w:t>
      </w:r>
    </w:p>
    <w:p w:rsidR="00E80155" w:rsidRDefault="00E80155" w:rsidP="00287E6E">
      <w:pPr>
        <w:rPr>
          <w:rFonts w:ascii="Arial" w:hAnsi="Arial" w:cs="Arial"/>
          <w:sz w:val="24"/>
          <w:szCs w:val="24"/>
        </w:rPr>
      </w:pPr>
    </w:p>
    <w:sectPr w:rsidR="00E80155" w:rsidSect="00287E6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AB" w:rsidRDefault="006611AB" w:rsidP="00A24331">
      <w:pPr>
        <w:spacing w:after="0" w:line="240" w:lineRule="auto"/>
      </w:pPr>
      <w:r>
        <w:separator/>
      </w:r>
    </w:p>
  </w:endnote>
  <w:endnote w:type="continuationSeparator" w:id="0">
    <w:p w:rsidR="006611AB" w:rsidRDefault="006611AB" w:rsidP="00A2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AB" w:rsidRDefault="006611AB" w:rsidP="00A24331">
      <w:pPr>
        <w:spacing w:after="0" w:line="240" w:lineRule="auto"/>
      </w:pPr>
      <w:r>
        <w:separator/>
      </w:r>
    </w:p>
  </w:footnote>
  <w:footnote w:type="continuationSeparator" w:id="0">
    <w:p w:rsidR="006611AB" w:rsidRDefault="006611AB" w:rsidP="00A2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331" w:rsidRDefault="005D074B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0;margin-top:-37pt;width:516.5pt;height:70.2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" fillcolor="white [3201]" stroked="f" strokeweight="2pt">
          <v:textbox style="mso-fit-shape-to-text:t">
            <w:txbxContent>
              <w:p w:rsidR="00A24331" w:rsidRDefault="00A24331" w:rsidP="00A24331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754911" cy="616661"/>
                      <wp:effectExtent l="0" t="0" r="762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684" cy="616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Constantia" w:hAnsi="Constantia"/>
                    <w:i/>
                    <w:sz w:val="20"/>
                    <w:szCs w:val="20"/>
                  </w:rPr>
                  <w:t xml:space="preserve">    </w:t>
                </w:r>
                <w:r w:rsidRPr="00271207">
                  <w:rPr>
                    <w:rFonts w:ascii="Constantia" w:hAnsi="Constantia"/>
                    <w:i/>
                    <w:sz w:val="20"/>
                    <w:szCs w:val="20"/>
                  </w:rPr>
                  <w:t>Training in Financial &amp; Business Management for Road Contractors</w:t>
                </w:r>
                <w:r>
                  <w:rPr>
                    <w:rFonts w:ascii="Constantia" w:hAnsi="Constantia"/>
                    <w:i/>
                    <w:sz w:val="20"/>
                    <w:szCs w:val="20"/>
                  </w:rPr>
                  <w:t xml:space="preserve">      </w:t>
                </w:r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1371600" cy="403860"/>
                      <wp:effectExtent l="0" t="0" r="0" b="0"/>
                      <wp:docPr id="12" name="Picture 12" descr="Description: C:\Users\CROSSR~1\AppData\Local\Temp\CrossRoads Logo with Sloga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Description: C:\Users\CROSSR~1\AppData\Local\Temp\CrossRoads Logo with Sloga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sdt>
      <w:sdtPr>
        <w:id w:val="565049494"/>
        <w:placeholder>
          <w:docPart w:val="8CDFEEE3C97D43C68BF542F2BDF8E64A"/>
        </w:placeholder>
        <w:temporary/>
        <w:showingPlcHdr/>
      </w:sdtPr>
      <w:sdtContent>
        <w:r w:rsidR="00A24331">
          <w:t>[Type text]</w:t>
        </w:r>
      </w:sdtContent>
    </w:sdt>
    <w:r w:rsidR="00A24331">
      <w:ptab w:relativeTo="margin" w:alignment="center" w:leader="none"/>
    </w:r>
    <w:sdt>
      <w:sdtPr>
        <w:id w:val="968859947"/>
        <w:placeholder>
          <w:docPart w:val="2848C345C8394C789E3615F9814FBE82"/>
        </w:placeholder>
        <w:temporary/>
        <w:showingPlcHdr/>
      </w:sdtPr>
      <w:sdtContent>
        <w:r w:rsidR="00A24331">
          <w:t>[Type text]</w:t>
        </w:r>
      </w:sdtContent>
    </w:sdt>
    <w:r w:rsidR="00A24331">
      <w:ptab w:relativeTo="margin" w:alignment="right" w:leader="none"/>
    </w:r>
    <w:sdt>
      <w:sdtPr>
        <w:id w:val="968859952"/>
        <w:placeholder>
          <w:docPart w:val="1CC05BA8CEB4413EB00CBBD6B07512FE"/>
        </w:placeholder>
        <w:temporary/>
        <w:showingPlcHdr/>
      </w:sdtPr>
      <w:sdtContent>
        <w:r w:rsidR="00A24331">
          <w:t>[Type text]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4331"/>
    <w:rsid w:val="00045C98"/>
    <w:rsid w:val="0007647F"/>
    <w:rsid w:val="000D1FF0"/>
    <w:rsid w:val="00186236"/>
    <w:rsid w:val="001D17C7"/>
    <w:rsid w:val="001D631F"/>
    <w:rsid w:val="00287E6E"/>
    <w:rsid w:val="002C2248"/>
    <w:rsid w:val="003470B9"/>
    <w:rsid w:val="003C2574"/>
    <w:rsid w:val="00427413"/>
    <w:rsid w:val="004E05D0"/>
    <w:rsid w:val="00570CFD"/>
    <w:rsid w:val="00582621"/>
    <w:rsid w:val="005B0A21"/>
    <w:rsid w:val="005C0398"/>
    <w:rsid w:val="005D074B"/>
    <w:rsid w:val="006611AB"/>
    <w:rsid w:val="00683899"/>
    <w:rsid w:val="006A7064"/>
    <w:rsid w:val="006B6333"/>
    <w:rsid w:val="006D67C9"/>
    <w:rsid w:val="006D7248"/>
    <w:rsid w:val="00757547"/>
    <w:rsid w:val="007D3F5E"/>
    <w:rsid w:val="007D7369"/>
    <w:rsid w:val="00847310"/>
    <w:rsid w:val="00875203"/>
    <w:rsid w:val="00881FE1"/>
    <w:rsid w:val="009349E9"/>
    <w:rsid w:val="00941A07"/>
    <w:rsid w:val="00957D1B"/>
    <w:rsid w:val="0099743B"/>
    <w:rsid w:val="00A20718"/>
    <w:rsid w:val="00A24331"/>
    <w:rsid w:val="00A915CE"/>
    <w:rsid w:val="00AE0F65"/>
    <w:rsid w:val="00B5699C"/>
    <w:rsid w:val="00B8023C"/>
    <w:rsid w:val="00BC784E"/>
    <w:rsid w:val="00C5212C"/>
    <w:rsid w:val="00C915A8"/>
    <w:rsid w:val="00CA2695"/>
    <w:rsid w:val="00CE69B1"/>
    <w:rsid w:val="00DE03A1"/>
    <w:rsid w:val="00E22016"/>
    <w:rsid w:val="00E80155"/>
    <w:rsid w:val="00E90377"/>
    <w:rsid w:val="00EF0E53"/>
    <w:rsid w:val="00EF5EFE"/>
    <w:rsid w:val="00F14AAD"/>
    <w:rsid w:val="00F436C7"/>
    <w:rsid w:val="00F807E3"/>
    <w:rsid w:val="00FC6179"/>
    <w:rsid w:val="00FD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3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4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33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24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331"/>
    <w:rPr>
      <w:lang w:val="en-GB"/>
    </w:rPr>
  </w:style>
  <w:style w:type="table" w:styleId="LightShading-Accent5">
    <w:name w:val="Light Shading Accent 5"/>
    <w:basedOn w:val="TableNormal"/>
    <w:uiPriority w:val="60"/>
    <w:rsid w:val="00287E6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CDFEEE3C97D43C68BF542F2BDF8E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57AC-F341-4321-A185-599868C7D821}"/>
      </w:docPartPr>
      <w:docPartBody>
        <w:p w:rsidR="000D160C" w:rsidRDefault="004F467A" w:rsidP="004F467A">
          <w:pPr>
            <w:pStyle w:val="8CDFEEE3C97D43C68BF542F2BDF8E64A"/>
          </w:pPr>
          <w:r>
            <w:t>[Type text]</w:t>
          </w:r>
        </w:p>
      </w:docPartBody>
    </w:docPart>
    <w:docPart>
      <w:docPartPr>
        <w:name w:val="2848C345C8394C789E3615F9814FB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336B4-906C-4442-B11C-66605559836D}"/>
      </w:docPartPr>
      <w:docPartBody>
        <w:p w:rsidR="000D160C" w:rsidRDefault="004F467A" w:rsidP="004F467A">
          <w:pPr>
            <w:pStyle w:val="2848C345C8394C789E3615F9814FBE82"/>
          </w:pPr>
          <w:r>
            <w:t>[Type text]</w:t>
          </w:r>
        </w:p>
      </w:docPartBody>
    </w:docPart>
    <w:docPart>
      <w:docPartPr>
        <w:name w:val="1CC05BA8CEB4413EB00CBBD6B0751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C58A4-BEA7-43F9-B642-67A6735610AC}"/>
      </w:docPartPr>
      <w:docPartBody>
        <w:p w:rsidR="000D160C" w:rsidRDefault="004F467A" w:rsidP="004F467A">
          <w:pPr>
            <w:pStyle w:val="1CC05BA8CEB4413EB00CBBD6B07512F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4F467A"/>
    <w:rsid w:val="000D160C"/>
    <w:rsid w:val="002F2569"/>
    <w:rsid w:val="004F467A"/>
    <w:rsid w:val="0079456C"/>
    <w:rsid w:val="00811FCD"/>
    <w:rsid w:val="00AF739C"/>
    <w:rsid w:val="00CB3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DFEEE3C97D43C68BF542F2BDF8E64A">
    <w:name w:val="8CDFEEE3C97D43C68BF542F2BDF8E64A"/>
    <w:rsid w:val="004F467A"/>
  </w:style>
  <w:style w:type="paragraph" w:customStyle="1" w:styleId="2848C345C8394C789E3615F9814FBE82">
    <w:name w:val="2848C345C8394C789E3615F9814FBE82"/>
    <w:rsid w:val="004F467A"/>
  </w:style>
  <w:style w:type="paragraph" w:customStyle="1" w:styleId="1CC05BA8CEB4413EB00CBBD6B07512FE">
    <w:name w:val="1CC05BA8CEB4413EB00CBBD6B07512FE"/>
    <w:rsid w:val="004F46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FBBE45A02FF43B2DB012F633F9BF5" ma:contentTypeVersion="0" ma:contentTypeDescription="Create a new document." ma:contentTypeScope="" ma:versionID="1cd96de4538a9ea783765af400c696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31541B-200C-4276-91D0-8F1F5E3803E8}"/>
</file>

<file path=customXml/itemProps2.xml><?xml version="1.0" encoding="utf-8"?>
<ds:datastoreItem xmlns:ds="http://schemas.openxmlformats.org/officeDocument/2006/customXml" ds:itemID="{CAC6CEDC-951B-4D12-8D7E-58E6C7FBFAF1}"/>
</file>

<file path=customXml/itemProps3.xml><?xml version="1.0" encoding="utf-8"?>
<ds:datastoreItem xmlns:ds="http://schemas.openxmlformats.org/officeDocument/2006/customXml" ds:itemID="{9579FB0A-3CAC-4BA7-8F14-98698B00C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Ssemmanda</dc:creator>
  <cp:keywords>TRT009</cp:keywords>
  <dc:description/>
  <cp:lastModifiedBy>Ssemmanda</cp:lastModifiedBy>
  <cp:revision>8</cp:revision>
  <dcterms:created xsi:type="dcterms:W3CDTF">2012-08-09T00:40:00Z</dcterms:created>
  <dcterms:modified xsi:type="dcterms:W3CDTF">2012-08-23T04:09:00Z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0x010100DA7FBBE45A02FF43B2DB012F633F9BF5</vt:lpwstr>
  </property>
</Properties>
</file>